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65A9C" w14:textId="28F8C110" w:rsidR="001D771D" w:rsidRPr="00661E19" w:rsidRDefault="001D771D" w:rsidP="001D771D">
      <w:pPr>
        <w:jc w:val="right"/>
        <w:rPr>
          <w:rFonts w:cs="Times New Roman"/>
          <w:b/>
          <w:bCs/>
        </w:rPr>
      </w:pPr>
      <w:r>
        <w:rPr>
          <w:rFonts w:cs="Times New Roman"/>
          <w:b/>
          <w:bCs/>
        </w:rPr>
        <w:t>7</w:t>
      </w:r>
      <w:r w:rsidRPr="00661E19">
        <w:rPr>
          <w:rFonts w:cs="Times New Roman"/>
          <w:b/>
          <w:bCs/>
        </w:rPr>
        <w:t>.pielikums</w:t>
      </w:r>
    </w:p>
    <w:p w14:paraId="14785D55" w14:textId="7AE015AE" w:rsidR="00F636FA" w:rsidRDefault="00F636FA" w:rsidP="001152E2">
      <w:pPr>
        <w:spacing w:after="0" w:line="240" w:lineRule="auto"/>
        <w:ind w:left="720" w:hanging="360"/>
        <w:rPr>
          <w:lang w:val="lv-LV"/>
        </w:rPr>
      </w:pPr>
    </w:p>
    <w:p w14:paraId="0C8F64D2" w14:textId="179EAAA1" w:rsidR="00F636FA" w:rsidRPr="005827DC" w:rsidRDefault="00F636FA" w:rsidP="001152E2">
      <w:pPr>
        <w:pStyle w:val="ListParagraph"/>
        <w:spacing w:after="0" w:line="240" w:lineRule="auto"/>
        <w:jc w:val="center"/>
        <w:rPr>
          <w:b/>
          <w:bCs/>
          <w:lang w:val="lv-LV"/>
        </w:rPr>
      </w:pPr>
      <w:r w:rsidRPr="005827DC">
        <w:rPr>
          <w:b/>
          <w:bCs/>
          <w:lang w:val="lv-LV"/>
        </w:rPr>
        <w:t xml:space="preserve">Papildus informācija par Eiropas Savienības kohēzijas politikas programmas </w:t>
      </w:r>
      <w:r w:rsidR="00F44CB6">
        <w:rPr>
          <w:b/>
          <w:bCs/>
          <w:lang w:val="lv-LV"/>
        </w:rPr>
        <w:t xml:space="preserve">           </w:t>
      </w:r>
      <w:r w:rsidRPr="005827DC">
        <w:rPr>
          <w:b/>
          <w:bCs/>
          <w:lang w:val="lv-LV"/>
        </w:rPr>
        <w:t>2021.-2027.gadam ietvaros plānotaj</w:t>
      </w:r>
      <w:r w:rsidR="00F44CB6">
        <w:rPr>
          <w:b/>
          <w:bCs/>
          <w:lang w:val="lv-LV"/>
        </w:rPr>
        <w:t xml:space="preserve">ām </w:t>
      </w:r>
      <w:r w:rsidRPr="005827DC">
        <w:rPr>
          <w:b/>
          <w:bCs/>
          <w:lang w:val="lv-LV"/>
        </w:rPr>
        <w:t>stratēģiski svarīgaj</w:t>
      </w:r>
      <w:r w:rsidR="00F44CB6">
        <w:rPr>
          <w:b/>
          <w:bCs/>
          <w:lang w:val="lv-LV"/>
        </w:rPr>
        <w:t>ā</w:t>
      </w:r>
      <w:r w:rsidRPr="005827DC">
        <w:rPr>
          <w:b/>
          <w:bCs/>
          <w:lang w:val="lv-LV"/>
        </w:rPr>
        <w:t xml:space="preserve">m </w:t>
      </w:r>
      <w:r w:rsidR="00F44CB6">
        <w:rPr>
          <w:b/>
          <w:bCs/>
          <w:lang w:val="lv-LV"/>
        </w:rPr>
        <w:t>darbībām (</w:t>
      </w:r>
      <w:r w:rsidRPr="005827DC">
        <w:rPr>
          <w:b/>
          <w:bCs/>
          <w:lang w:val="lv-LV"/>
        </w:rPr>
        <w:t>projektiem</w:t>
      </w:r>
      <w:r w:rsidR="00F44CB6">
        <w:rPr>
          <w:b/>
          <w:bCs/>
          <w:lang w:val="lv-LV"/>
        </w:rPr>
        <w:t>)</w:t>
      </w:r>
    </w:p>
    <w:p w14:paraId="5D775A15" w14:textId="77777777" w:rsidR="00F636FA" w:rsidRPr="005827DC" w:rsidRDefault="00F636FA" w:rsidP="001152E2">
      <w:pPr>
        <w:pStyle w:val="ListParagraph"/>
        <w:spacing w:after="0" w:line="240" w:lineRule="auto"/>
        <w:jc w:val="center"/>
        <w:rPr>
          <w:b/>
          <w:bCs/>
          <w:lang w:val="lv-LV"/>
        </w:rPr>
      </w:pPr>
    </w:p>
    <w:p w14:paraId="1B49426E" w14:textId="77777777" w:rsidR="00F636FA" w:rsidRPr="005827DC" w:rsidRDefault="00F636FA" w:rsidP="001152E2">
      <w:pPr>
        <w:pStyle w:val="ListParagraph"/>
        <w:spacing w:after="0" w:line="240" w:lineRule="auto"/>
        <w:rPr>
          <w:b/>
          <w:bCs/>
          <w:lang w:val="lv-LV"/>
        </w:rPr>
      </w:pPr>
    </w:p>
    <w:p w14:paraId="0A87B9F3" w14:textId="3C8E64F8" w:rsidR="001152E2" w:rsidRPr="005827DC" w:rsidRDefault="001152E2" w:rsidP="001152E2">
      <w:pPr>
        <w:pStyle w:val="ListParagraph"/>
        <w:numPr>
          <w:ilvl w:val="0"/>
          <w:numId w:val="1"/>
        </w:numPr>
        <w:spacing w:after="0" w:line="240" w:lineRule="auto"/>
        <w:jc w:val="both"/>
        <w:rPr>
          <w:b/>
          <w:bCs/>
          <w:lang w:val="lv-LV"/>
        </w:rPr>
      </w:pPr>
      <w:r w:rsidRPr="005827DC">
        <w:rPr>
          <w:rFonts w:eastAsia="Times New Roman" w:cs="Times New Roman"/>
          <w:b/>
          <w:bCs/>
          <w:color w:val="000000"/>
          <w:szCs w:val="24"/>
          <w:lang w:val="lv-LV" w:eastAsia="en-GB" w:bidi="ne-NP"/>
        </w:rPr>
        <w:t>1.1.1.2.pasākums “RIS3 pētniecības un inovāciju centri”</w:t>
      </w:r>
      <w:r w:rsidRPr="005827DC">
        <w:rPr>
          <w:rFonts w:eastAsia="Times New Roman" w:cs="Times New Roman"/>
          <w:color w:val="000000"/>
          <w:szCs w:val="24"/>
          <w:lang w:val="lv-LV" w:eastAsia="en-GB" w:bidi="ne-NP"/>
        </w:rPr>
        <w:t xml:space="preserve"> </w:t>
      </w:r>
    </w:p>
    <w:p w14:paraId="78268D53" w14:textId="27214526" w:rsidR="00A41772" w:rsidRPr="00A41772" w:rsidRDefault="00A41772" w:rsidP="00A41772">
      <w:pPr>
        <w:spacing w:after="0" w:line="240" w:lineRule="auto"/>
        <w:jc w:val="both"/>
        <w:rPr>
          <w:rFonts w:eastAsia="Times New Roman" w:cs="Times New Roman"/>
          <w:szCs w:val="24"/>
          <w:lang w:val="lv-LV"/>
        </w:rPr>
      </w:pPr>
      <w:r w:rsidRPr="00A41772">
        <w:rPr>
          <w:rFonts w:eastAsia="Times New Roman" w:cs="Times New Roman"/>
          <w:szCs w:val="24"/>
          <w:lang w:val="lv-LV"/>
        </w:rPr>
        <w:t xml:space="preserve">1.1.1.2. pasākuma ietvaros ir paredzēta pētniecības un inovāciju  potenciāla stiprināšana, atbalstot jaunu izcilības centru izveidi vai stiprinot esošos ekselences centrus kā paraugu, lai stimulētu izcilību un jaunus ieguldījumus, kā arī lai atbalstītu pētniecības un inovācijas sistēmu reformas. Šī mērķa sasniegšanai Latvijas zinātnisko institūciju iesniegtajiem Eiropas Savienības pētniecības un inovāciju pamatprogrammas “Apvārsnis Eiropa” (turpmāk – programma “Apvārsnis Eiropa”) apakšprogrammas </w:t>
      </w:r>
      <w:r>
        <w:rPr>
          <w:rFonts w:eastAsia="Times New Roman" w:cs="Times New Roman"/>
          <w:szCs w:val="24"/>
          <w:lang w:val="lv-LV"/>
        </w:rPr>
        <w:t>“</w:t>
      </w:r>
      <w:r w:rsidRPr="00A41772">
        <w:rPr>
          <w:rFonts w:eastAsia="Times New Roman" w:cs="Times New Roman"/>
          <w:szCs w:val="24"/>
          <w:lang w:val="lv-LV"/>
        </w:rPr>
        <w:t xml:space="preserve">Izcilības izplatīšana un dalības paplašināšana” TEAMING projektiem, kuri TEAMING otrās kārtas konkursā apstiprināšanas gadījumā iegūs Eiropas Savienības programmas Apvārsnis Eiropa finansējumu, tiks piešķirts līdzfinansējums no 1.1.1.2. pasākuma. </w:t>
      </w:r>
      <w:r w:rsidRPr="00A41772">
        <w:rPr>
          <w:rFonts w:eastAsia="Times New Roman" w:cs="Times New Roman"/>
          <w:b/>
          <w:bCs/>
          <w:szCs w:val="24"/>
          <w:lang w:val="lv-LV"/>
        </w:rPr>
        <w:t>Pasākuma mērķis</w:t>
      </w:r>
      <w:r w:rsidRPr="00A41772">
        <w:rPr>
          <w:rFonts w:eastAsia="Times New Roman" w:cs="Times New Roman"/>
          <w:szCs w:val="24"/>
          <w:lang w:val="lv-LV"/>
        </w:rPr>
        <w:t xml:space="preserve"> ir veicināt Latvijas pētniecības izcilību RIS3 specializācijas jomās (izveidojot RIS3 pētniecības un inovācijas izcilības centrus) un līdzdalību Eiropas Pētniecības telpā, kā arī  Latvijas spēju piedalīties </w:t>
      </w:r>
      <w:r w:rsidRPr="00A41772">
        <w:rPr>
          <w:rFonts w:eastAsia="Times New Roman" w:cs="Times New Roman"/>
          <w:iCs/>
          <w:szCs w:val="24"/>
          <w:lang w:val="lv-LV"/>
        </w:rPr>
        <w:t>A</w:t>
      </w:r>
      <w:r w:rsidRPr="00A41772">
        <w:rPr>
          <w:rFonts w:eastAsia="Times New Roman" w:cs="Times New Roman"/>
          <w:szCs w:val="24"/>
          <w:lang w:val="lv-LV"/>
        </w:rPr>
        <w:t xml:space="preserve">pvārsnis Eiropa programmā, stiprinot pētniecības infrastruktūru un resursu koplietošanu, nodrošinot P&amp;A </w:t>
      </w:r>
      <w:proofErr w:type="spellStart"/>
      <w:r w:rsidRPr="00A41772">
        <w:rPr>
          <w:rFonts w:eastAsia="Times New Roman" w:cs="Times New Roman"/>
          <w:szCs w:val="24"/>
          <w:lang w:val="lv-LV"/>
        </w:rPr>
        <w:t>cilvēkkapitāla</w:t>
      </w:r>
      <w:proofErr w:type="spellEnd"/>
      <w:r w:rsidRPr="00A41772">
        <w:rPr>
          <w:rFonts w:eastAsia="Times New Roman" w:cs="Times New Roman"/>
          <w:szCs w:val="24"/>
          <w:lang w:val="lv-LV"/>
        </w:rPr>
        <w:t xml:space="preserve"> attīstību, zināšanu, prasmju, kompetenču un tehnoloģiju pārnesi, kā arī veicinot sadarbību starp uzņēmējiem un akadēmiskā sektora pārstāvjiem inovāciju attīstīšanā.</w:t>
      </w:r>
    </w:p>
    <w:p w14:paraId="7A08B1D1" w14:textId="48B2F2D4" w:rsidR="00A41772" w:rsidRPr="00A41772" w:rsidRDefault="00A41772" w:rsidP="00A41772">
      <w:pPr>
        <w:spacing w:after="0" w:line="240" w:lineRule="auto"/>
        <w:jc w:val="both"/>
        <w:rPr>
          <w:rFonts w:cs="Times New Roman"/>
          <w:color w:val="000000" w:themeColor="text1"/>
          <w:szCs w:val="24"/>
          <w:lang w:val="lv-LV"/>
        </w:rPr>
      </w:pPr>
      <w:r w:rsidRPr="00A41772">
        <w:rPr>
          <w:rFonts w:cs="Times New Roman"/>
          <w:color w:val="000000" w:themeColor="text1"/>
          <w:szCs w:val="24"/>
          <w:lang w:val="lv-LV"/>
        </w:rPr>
        <w:t xml:space="preserve">1.1.1.2. pasākuma </w:t>
      </w:r>
      <w:r w:rsidRPr="00A41772">
        <w:rPr>
          <w:rFonts w:cs="Times New Roman"/>
          <w:b/>
          <w:bCs/>
          <w:color w:val="000000" w:themeColor="text1"/>
          <w:szCs w:val="24"/>
          <w:lang w:val="lv-LV"/>
        </w:rPr>
        <w:t>stratēģiskā nozīme</w:t>
      </w:r>
      <w:r w:rsidRPr="00A41772">
        <w:rPr>
          <w:rFonts w:cs="Times New Roman"/>
          <w:color w:val="000000" w:themeColor="text1"/>
          <w:szCs w:val="24"/>
          <w:lang w:val="lv-LV"/>
        </w:rPr>
        <w:t xml:space="preserve"> ir pamatota Zinātnes, tehnoloģijas attīstības un inovācijas pamatnostādnēs 2021.-2027. gadam (turpmāk – ZTAIP), kas ir vidēja termiņa politikas plānošanas dokuments, kas definē zinātnes un tehnoloģiju attīstības politiku laika periodam no 2021.-2027. gadam, nosakot pamatprincipus, mērķi, prioritātes, rīcības virzienus un veicamos uzdevumus un nodrošinot šo politiku pēctecību. ZTAIP 1.2. rīcības virziena „P&amp;A infrastruktūra pētniecības izcilībai un inovācijai” 1.2.1. uzdevums  </w:t>
      </w:r>
      <w:r>
        <w:rPr>
          <w:rFonts w:cs="Times New Roman"/>
          <w:color w:val="000000" w:themeColor="text1"/>
          <w:szCs w:val="24"/>
          <w:lang w:val="lv-LV"/>
        </w:rPr>
        <w:t>“</w:t>
      </w:r>
      <w:r w:rsidRPr="00A41772">
        <w:rPr>
          <w:rFonts w:cs="Times New Roman"/>
          <w:color w:val="000000" w:themeColor="text1"/>
          <w:szCs w:val="24"/>
          <w:lang w:val="lv-LV"/>
        </w:rPr>
        <w:t xml:space="preserve">Attīstīt izcilību, starpnozaru un starptautisko sadarbību un augstākās izglītības un pētniecības kvalitāti veicinošu pētniecības (t.sk. digitālo) infrastruktūru RIS3 pētniecības un inovācijas izcilības centru ietvaros un veicināt to koplietošanu nacionālā mērogā, tādējādi paaugstinot Latvijas pētniecības redzamību un sadarbības iespējas starptautiskā mērogā” paredz 2021.-2027. gada periodā pētniecības izcilības un inovācijas attīstīšanu īstenot RIS3 pētniecības un inovācijas izcilības centru ietvaros. </w:t>
      </w:r>
    </w:p>
    <w:p w14:paraId="3A9AAB1E" w14:textId="558B709E" w:rsidR="00A41772" w:rsidRPr="00A41772" w:rsidRDefault="00A41772" w:rsidP="00A41772">
      <w:pPr>
        <w:spacing w:after="0" w:line="240" w:lineRule="auto"/>
        <w:jc w:val="both"/>
        <w:rPr>
          <w:rFonts w:cs="Times New Roman"/>
          <w:color w:val="FF0000"/>
          <w:szCs w:val="24"/>
          <w:lang w:val="lv"/>
        </w:rPr>
      </w:pPr>
      <w:r w:rsidRPr="00A41772">
        <w:rPr>
          <w:rFonts w:cs="Times New Roman"/>
          <w:bCs/>
          <w:szCs w:val="24"/>
          <w:lang w:val="lv-LV"/>
        </w:rPr>
        <w:t xml:space="preserve">1.1.1.2. pasākumam indikatīvi plānotais </w:t>
      </w:r>
      <w:r w:rsidRPr="00A41772">
        <w:rPr>
          <w:rFonts w:cs="Times New Roman"/>
          <w:b/>
          <w:szCs w:val="24"/>
          <w:lang w:val="lv-LV"/>
        </w:rPr>
        <w:t>kopējais attiecināmais finansējums</w:t>
      </w:r>
      <w:r w:rsidRPr="00A41772">
        <w:rPr>
          <w:rFonts w:cs="Times New Roman"/>
          <w:bCs/>
          <w:szCs w:val="24"/>
          <w:lang w:val="lv-LV"/>
        </w:rPr>
        <w:t xml:space="preserve"> ir</w:t>
      </w:r>
      <w:r w:rsidRPr="00A41772">
        <w:rPr>
          <w:lang w:val="lv-LV"/>
        </w:rPr>
        <w:t xml:space="preserve"> 60 900 000 EUR</w:t>
      </w:r>
      <w:r w:rsidRPr="00A41772">
        <w:rPr>
          <w:rFonts w:cs="Times New Roman"/>
          <w:bCs/>
          <w:szCs w:val="24"/>
          <w:lang w:val="lv-LV"/>
        </w:rPr>
        <w:t>.</w:t>
      </w:r>
    </w:p>
    <w:p w14:paraId="5AA3720B" w14:textId="77777777" w:rsidR="00A41772" w:rsidRPr="00A41772" w:rsidRDefault="00A41772" w:rsidP="00A41772">
      <w:pPr>
        <w:pStyle w:val="ListParagraph"/>
        <w:spacing w:after="0" w:line="240" w:lineRule="auto"/>
        <w:jc w:val="both"/>
        <w:rPr>
          <w:rFonts w:eastAsia="Times New Roman" w:cs="Times New Roman"/>
          <w:color w:val="000000" w:themeColor="text1"/>
          <w:szCs w:val="24"/>
          <w:lang w:val="lv-LV"/>
        </w:rPr>
      </w:pPr>
    </w:p>
    <w:p w14:paraId="4B5AE929" w14:textId="77777777" w:rsidR="00A41772" w:rsidRPr="00A41772" w:rsidRDefault="00A41772" w:rsidP="00A41772">
      <w:pPr>
        <w:spacing w:after="0" w:line="240" w:lineRule="auto"/>
        <w:jc w:val="both"/>
        <w:rPr>
          <w:rFonts w:eastAsia="Times New Roman" w:cs="Times New Roman"/>
          <w:color w:val="000000" w:themeColor="text1"/>
          <w:szCs w:val="24"/>
          <w:lang w:val="lv-LV"/>
        </w:rPr>
      </w:pPr>
      <w:r w:rsidRPr="00A41772">
        <w:rPr>
          <w:rFonts w:eastAsia="Times New Roman" w:cs="Times New Roman"/>
          <w:szCs w:val="24"/>
          <w:lang w:val="lv-LV"/>
        </w:rPr>
        <w:t>Līdzfinansētie projekti nodrošina:</w:t>
      </w:r>
    </w:p>
    <w:p w14:paraId="79AFA993" w14:textId="77777777" w:rsidR="00A41772" w:rsidRPr="00A41772" w:rsidRDefault="00A41772" w:rsidP="00A41772">
      <w:pPr>
        <w:pStyle w:val="ListParagraph"/>
        <w:spacing w:after="0" w:line="240" w:lineRule="auto"/>
        <w:ind w:hanging="153"/>
        <w:jc w:val="both"/>
        <w:rPr>
          <w:rFonts w:eastAsia="Times New Roman" w:cs="Times New Roman"/>
          <w:szCs w:val="24"/>
          <w:lang w:val="lv-LV"/>
        </w:rPr>
      </w:pPr>
      <w:r w:rsidRPr="00A41772">
        <w:rPr>
          <w:rFonts w:eastAsia="Times New Roman" w:cs="Times New Roman"/>
          <w:szCs w:val="24"/>
          <w:lang w:val="lv-LV"/>
        </w:rPr>
        <w:t xml:space="preserve">• atbilstību Latvijas Zinātnes, tehnoloģijas attīstības un inovācijas pamatnostādnēs 2021.-2027. gadam noteiktajiem uzdevumiem, īpaši </w:t>
      </w:r>
      <w:proofErr w:type="spellStart"/>
      <w:r w:rsidRPr="00A41772">
        <w:rPr>
          <w:rFonts w:eastAsia="Times New Roman" w:cs="Times New Roman"/>
          <w:szCs w:val="24"/>
          <w:lang w:val="lv-LV"/>
        </w:rPr>
        <w:t>veiconot</w:t>
      </w:r>
      <w:proofErr w:type="spellEnd"/>
      <w:r w:rsidRPr="00A41772">
        <w:rPr>
          <w:rFonts w:eastAsia="Times New Roman" w:cs="Times New Roman"/>
          <w:szCs w:val="24"/>
          <w:lang w:val="lv-LV"/>
        </w:rPr>
        <w:t xml:space="preserve"> šādu uzdevumu izpildi: tiks turpināts attīstīt valsts zinātniskos institūtus kā zināšanu un inovāciju centrus, tajos koncentrējot zinātniskās pētniecības kapacitāti, stiprinot pētniecības infrastruktūru un resursu koplietošanu un </w:t>
      </w:r>
      <w:proofErr w:type="spellStart"/>
      <w:r w:rsidRPr="00A41772">
        <w:rPr>
          <w:rFonts w:eastAsia="Times New Roman" w:cs="Times New Roman"/>
          <w:szCs w:val="24"/>
          <w:lang w:val="lv-LV"/>
        </w:rPr>
        <w:t>proaktīvi</w:t>
      </w:r>
      <w:proofErr w:type="spellEnd"/>
      <w:r w:rsidRPr="00A41772">
        <w:rPr>
          <w:rFonts w:eastAsia="Times New Roman" w:cs="Times New Roman"/>
          <w:szCs w:val="24"/>
          <w:lang w:val="lv-LV"/>
        </w:rPr>
        <w:t xml:space="preserve"> attīstot jaunus zināšanu aprites veidus ar industriju un Eiropas P&amp;A vidi. RIS3 ieviešanas kontekstā tiks nodrošināta nepieciešamā P&amp;A </w:t>
      </w:r>
      <w:proofErr w:type="spellStart"/>
      <w:r w:rsidRPr="00A41772">
        <w:rPr>
          <w:rFonts w:eastAsia="Times New Roman" w:cs="Times New Roman"/>
          <w:szCs w:val="24"/>
          <w:lang w:val="lv-LV"/>
        </w:rPr>
        <w:t>cilvēkkapitāla</w:t>
      </w:r>
      <w:proofErr w:type="spellEnd"/>
      <w:r w:rsidRPr="00A41772">
        <w:rPr>
          <w:rFonts w:eastAsia="Times New Roman" w:cs="Times New Roman"/>
          <w:szCs w:val="24"/>
          <w:lang w:val="lv-LV"/>
        </w:rPr>
        <w:t xml:space="preserve"> attīstība, zināšanu, prasmju, kompetenču un tehnoloģiju </w:t>
      </w:r>
      <w:proofErr w:type="spellStart"/>
      <w:r w:rsidRPr="00A41772">
        <w:rPr>
          <w:rFonts w:eastAsia="Times New Roman" w:cs="Times New Roman"/>
          <w:szCs w:val="24"/>
          <w:lang w:val="lv-LV"/>
        </w:rPr>
        <w:t>pārnese</w:t>
      </w:r>
      <w:proofErr w:type="spellEnd"/>
      <w:r w:rsidRPr="00A41772">
        <w:rPr>
          <w:rFonts w:eastAsia="Times New Roman" w:cs="Times New Roman"/>
          <w:szCs w:val="24"/>
          <w:lang w:val="lv-LV"/>
        </w:rPr>
        <w:t>.  RIS3 specializācijas jomas tiks attīstītas RIS3 pētniecības un inovācijas izcilības centru ietvaros, kuri nodrošinās pētniecības infrastruktūru un resursu koplietošanu un atvērtu pieejamību inovāciju radīšanai, veicinot sadarbību starp uzņēmējdarbības un publisko sektoru pētniecību un inovācijas attīstīšanā.</w:t>
      </w:r>
    </w:p>
    <w:p w14:paraId="63096AE1" w14:textId="77777777" w:rsidR="00A41772" w:rsidRPr="00A41772" w:rsidRDefault="00A41772" w:rsidP="00A41772">
      <w:pPr>
        <w:pStyle w:val="ListParagraph"/>
        <w:spacing w:after="0" w:line="240" w:lineRule="auto"/>
        <w:ind w:hanging="153"/>
        <w:jc w:val="both"/>
        <w:rPr>
          <w:rFonts w:eastAsia="Times New Roman" w:cs="Times New Roman"/>
          <w:szCs w:val="24"/>
          <w:lang w:val="lv-LV"/>
        </w:rPr>
      </w:pPr>
      <w:r w:rsidRPr="00A41772">
        <w:rPr>
          <w:rFonts w:eastAsia="Times New Roman" w:cs="Times New Roman"/>
          <w:szCs w:val="24"/>
          <w:lang w:val="lv-LV"/>
        </w:rPr>
        <w:t>• atbilstību programmas “Apvārsnis Eiropa” komponenta “Dalības paplašināšana un Eiropas Pētniecības telpa” prioritātēm. Abi ERAF līdzfinansējumam līdz šim  izvirzītie projekti atbilst programmas Apvārsnis Eiropa komponenta “Dalības paplašināšana un Eiropas Pētniecības telpa” prioritātēm, it īpaši veicinot šādu programmas “Apvārsnis Eiropa” darba programmā noteikto mērķu sasniegšanu: veicinās programmas “Apvārsnis Eiropa” 2. pīlāra ietekmi, sniedzot ieguldījumu visas pamatprogrammas mērķu sasniegšanā, palielinās ģeogrāfisko daudzveidību, palielinās vaja</w:t>
      </w:r>
      <w:bookmarkStart w:id="0" w:name="_GoBack"/>
      <w:bookmarkEnd w:id="0"/>
      <w:r w:rsidRPr="00A41772">
        <w:rPr>
          <w:rFonts w:eastAsia="Times New Roman" w:cs="Times New Roman"/>
          <w:szCs w:val="24"/>
          <w:lang w:val="lv-LV"/>
        </w:rPr>
        <w:t xml:space="preserve">dzīgās spējas, lai varētu sekmīgi piedalīties pētniecības un inovācijas procesā, kā arī veicinās pētniecības sadarbības tīklu veidošanu un piekļuvi izcilībai. Sekmīgie projekti veicinās sinerģiju ar Eiropas Inovāciju ekosistēmu un Eiropas Inovāciju un tehnoloģiju institūta </w:t>
      </w:r>
      <w:r w:rsidRPr="00A41772">
        <w:rPr>
          <w:rFonts w:eastAsia="Times New Roman" w:cs="Times New Roman"/>
          <w:szCs w:val="24"/>
          <w:lang w:val="lv-LV"/>
        </w:rPr>
        <w:lastRenderedPageBreak/>
        <w:t>(EIT) zināšanu un inovācijas kopienām. Turklāt projekti veicinās pētniecības rezultātu izplatīšanu un izmantošanu, pastiprinot mijiedarbību starp izglītību un pētniecību un stiprinot sadarbības saites visā Eiropā un atverot Eiropas pētniecības un inovācijas tīklus jauniem dalībniekiem. Tas palīdzēs uzlabot pētniecības vadības spējas “dalības paplašināšanās valstīs”  un tālākajos reģionos un atbalstīs valstu politikas reformas, kā arī veicinās Eiropas Pētniecības telpas stratēģisko mērķu sasniegšanu.</w:t>
      </w:r>
    </w:p>
    <w:p w14:paraId="7B562AF4" w14:textId="77777777" w:rsidR="00A41772" w:rsidRPr="00A41772" w:rsidRDefault="00A41772" w:rsidP="00A41772">
      <w:pPr>
        <w:pStyle w:val="ListParagraph"/>
        <w:spacing w:after="0" w:line="240" w:lineRule="auto"/>
        <w:ind w:hanging="153"/>
        <w:jc w:val="both"/>
        <w:rPr>
          <w:rFonts w:eastAsia="Times New Roman" w:cs="Times New Roman"/>
          <w:szCs w:val="24"/>
          <w:lang w:val="lv-LV"/>
        </w:rPr>
      </w:pPr>
      <w:r w:rsidRPr="00A41772">
        <w:rPr>
          <w:rFonts w:eastAsia="Times New Roman" w:cs="Times New Roman"/>
          <w:szCs w:val="24"/>
          <w:lang w:val="lv-LV"/>
        </w:rPr>
        <w:t>• atbilstību Eiropas Savienības kohēzijas politikas programma 2021.–2027.gadam noteiktajam tvērumam un sniedz ieguldījumu programmas specifisko mērķu sasniegšanā.</w:t>
      </w:r>
    </w:p>
    <w:p w14:paraId="0B7B589C" w14:textId="1603167E" w:rsidR="001152E2" w:rsidRPr="008A54C0" w:rsidRDefault="001152E2" w:rsidP="008A54C0">
      <w:pPr>
        <w:pStyle w:val="ListParagraph"/>
        <w:spacing w:after="0" w:line="240" w:lineRule="auto"/>
        <w:rPr>
          <w:b/>
          <w:bCs/>
          <w:szCs w:val="24"/>
          <w:lang w:val="lv-LV"/>
        </w:rPr>
      </w:pPr>
    </w:p>
    <w:p w14:paraId="0F828DA2" w14:textId="77777777" w:rsidR="001152E2" w:rsidRPr="008A54C0" w:rsidRDefault="001152E2" w:rsidP="008A54C0">
      <w:pPr>
        <w:pStyle w:val="ListParagraph"/>
        <w:spacing w:after="0" w:line="240" w:lineRule="auto"/>
        <w:rPr>
          <w:b/>
          <w:bCs/>
          <w:szCs w:val="24"/>
          <w:lang w:val="lv-LV"/>
        </w:rPr>
      </w:pPr>
    </w:p>
    <w:p w14:paraId="4A04C2D5" w14:textId="50BC62DE" w:rsidR="002B7591" w:rsidRPr="005827DC" w:rsidRDefault="002B7591" w:rsidP="00996F27">
      <w:pPr>
        <w:pStyle w:val="ListParagraph"/>
        <w:numPr>
          <w:ilvl w:val="0"/>
          <w:numId w:val="1"/>
        </w:numPr>
        <w:spacing w:after="0" w:line="240" w:lineRule="auto"/>
        <w:jc w:val="both"/>
        <w:rPr>
          <w:b/>
          <w:bCs/>
          <w:lang w:val="lv-LV"/>
        </w:rPr>
      </w:pPr>
      <w:r w:rsidRPr="005827DC">
        <w:rPr>
          <w:b/>
          <w:bCs/>
          <w:lang w:val="lv-LV"/>
        </w:rPr>
        <w:t>1.3.1.specifiskā atbalsta mērķa “</w:t>
      </w:r>
      <w:r w:rsidRPr="005827DC">
        <w:rPr>
          <w:b/>
          <w:bCs/>
          <w:noProof/>
          <w:szCs w:val="24"/>
          <w:lang w:val="lv-LV"/>
        </w:rPr>
        <w:t>Izmantot digitalizācijas priekšrocības iedzīvotājiem, uzņēmumiem, pētniecības organizācijām un publiskajām iestādēm</w:t>
      </w:r>
      <w:r w:rsidRPr="005827DC">
        <w:rPr>
          <w:b/>
          <w:bCs/>
          <w:lang w:val="lv-LV"/>
        </w:rPr>
        <w:t>” projekts “</w:t>
      </w:r>
      <w:r w:rsidR="00996F27" w:rsidRPr="00996F27">
        <w:rPr>
          <w:rFonts w:cs="Times New Roman"/>
          <w:b/>
          <w:bCs/>
          <w:color w:val="000000"/>
          <w:szCs w:val="24"/>
          <w:lang w:val="lv-LV"/>
        </w:rPr>
        <w:t xml:space="preserve">Datu pārvaldības attīstība, lai nodrošinātu efektīvu datu koplietošanu un nodošanu </w:t>
      </w:r>
      <w:proofErr w:type="spellStart"/>
      <w:r w:rsidR="00996F27" w:rsidRPr="00996F27">
        <w:rPr>
          <w:rFonts w:cs="Times New Roman"/>
          <w:b/>
          <w:bCs/>
          <w:color w:val="000000"/>
          <w:szCs w:val="24"/>
          <w:lang w:val="lv-LV"/>
        </w:rPr>
        <w:t>atkalizmantošanai</w:t>
      </w:r>
      <w:proofErr w:type="spellEnd"/>
      <w:r w:rsidRPr="005827DC">
        <w:rPr>
          <w:b/>
          <w:bCs/>
          <w:lang w:val="lv-LV"/>
        </w:rPr>
        <w:t>”</w:t>
      </w:r>
    </w:p>
    <w:p w14:paraId="5C9C9C35" w14:textId="701AF73A" w:rsidR="002B7591" w:rsidRPr="00996F27" w:rsidRDefault="00996F27" w:rsidP="00996F27">
      <w:pPr>
        <w:spacing w:after="0" w:line="240" w:lineRule="auto"/>
        <w:rPr>
          <w:b/>
          <w:bCs/>
          <w:lang w:val="lv-LV"/>
        </w:rPr>
      </w:pPr>
      <w:r>
        <w:rPr>
          <w:rFonts w:eastAsia="Times New Roman" w:cs="Times New Roman"/>
          <w:szCs w:val="24"/>
          <w:lang w:val="lv-LV"/>
        </w:rPr>
        <w:t>Plānotā projekta “</w:t>
      </w:r>
      <w:r w:rsidRPr="00996F27">
        <w:rPr>
          <w:rFonts w:eastAsia="Times New Roman" w:cs="Times New Roman"/>
          <w:szCs w:val="24"/>
          <w:lang w:val="lv-LV"/>
        </w:rPr>
        <w:t xml:space="preserve">Datu pārvaldības attīstība, lai nodrošinātu efektīvu datu koplietošanu un nodošanu </w:t>
      </w:r>
      <w:proofErr w:type="spellStart"/>
      <w:r w:rsidRPr="00996F27">
        <w:rPr>
          <w:rFonts w:eastAsia="Times New Roman" w:cs="Times New Roman"/>
          <w:szCs w:val="24"/>
          <w:lang w:val="lv-LV"/>
        </w:rPr>
        <w:t>atkalizmantošanai</w:t>
      </w:r>
      <w:proofErr w:type="spellEnd"/>
      <w:r>
        <w:rPr>
          <w:rFonts w:eastAsia="Times New Roman" w:cs="Times New Roman"/>
          <w:szCs w:val="24"/>
          <w:lang w:val="lv-LV"/>
        </w:rPr>
        <w:t>”</w:t>
      </w:r>
      <w:r w:rsidRPr="00996F27">
        <w:rPr>
          <w:rFonts w:eastAsia="Times New Roman" w:cs="Times New Roman"/>
          <w:szCs w:val="24"/>
          <w:lang w:val="lv-LV"/>
        </w:rPr>
        <w:t xml:space="preserve"> </w:t>
      </w:r>
      <w:r w:rsidRPr="00996F27">
        <w:rPr>
          <w:rFonts w:eastAsia="Times New Roman" w:cs="Times New Roman"/>
          <w:b/>
          <w:bCs/>
          <w:szCs w:val="24"/>
          <w:lang w:val="lv-LV"/>
        </w:rPr>
        <w:t>mērķis</w:t>
      </w:r>
      <w:r w:rsidRPr="00996F27">
        <w:rPr>
          <w:rFonts w:eastAsia="Times New Roman" w:cs="Times New Roman"/>
          <w:szCs w:val="24"/>
          <w:lang w:val="lv-LV"/>
        </w:rPr>
        <w:t xml:space="preserve"> ir nodrošināt datu koplietošanu valsts pārvaldes ietvaros, t.sk. nodrošinot datu nodošanu komersantiem.  Datu aprite, t.sk. datu aprites centralizēta pārvaldība ir noteikta kā 2021.-2027.g. perioda </w:t>
      </w:r>
      <w:r w:rsidRPr="00996F27">
        <w:rPr>
          <w:rFonts w:eastAsia="Times New Roman" w:cs="Times New Roman"/>
          <w:b/>
          <w:bCs/>
          <w:szCs w:val="24"/>
          <w:lang w:val="lv-LV"/>
        </w:rPr>
        <w:t>prioritāte</w:t>
      </w:r>
      <w:r w:rsidRPr="00996F27">
        <w:rPr>
          <w:rFonts w:eastAsia="Times New Roman" w:cs="Times New Roman"/>
          <w:szCs w:val="24"/>
          <w:lang w:val="lv-LV"/>
        </w:rPr>
        <w:t xml:space="preserve">, līdz ar to projekts ir uzskatāms par stratēģiski svarīgu projektu. Indikatīvais </w:t>
      </w:r>
      <w:r w:rsidRPr="00996F27">
        <w:rPr>
          <w:rFonts w:eastAsia="Times New Roman" w:cs="Times New Roman"/>
          <w:b/>
          <w:bCs/>
          <w:szCs w:val="24"/>
          <w:lang w:val="lv-LV"/>
        </w:rPr>
        <w:t>finansējums</w:t>
      </w:r>
      <w:r w:rsidRPr="00996F27">
        <w:rPr>
          <w:rFonts w:eastAsia="Times New Roman" w:cs="Times New Roman"/>
          <w:szCs w:val="24"/>
          <w:lang w:val="lv-LV"/>
        </w:rPr>
        <w:t>, ko plānots novirzīt minētajam projektam ir 14 000 000 EUR.  </w:t>
      </w:r>
    </w:p>
    <w:p w14:paraId="47825676" w14:textId="1B9B361D" w:rsidR="001152E2" w:rsidRDefault="001152E2" w:rsidP="001152E2">
      <w:pPr>
        <w:pStyle w:val="ListParagraph"/>
        <w:spacing w:after="0" w:line="240" w:lineRule="auto"/>
        <w:rPr>
          <w:b/>
          <w:bCs/>
          <w:lang w:val="lv-LV"/>
        </w:rPr>
      </w:pPr>
    </w:p>
    <w:p w14:paraId="2C77B195" w14:textId="77777777" w:rsidR="00996F27" w:rsidRPr="005827DC" w:rsidRDefault="00996F27" w:rsidP="001152E2">
      <w:pPr>
        <w:pStyle w:val="ListParagraph"/>
        <w:spacing w:after="0" w:line="240" w:lineRule="auto"/>
        <w:rPr>
          <w:b/>
          <w:bCs/>
          <w:lang w:val="lv-LV"/>
        </w:rPr>
      </w:pPr>
    </w:p>
    <w:p w14:paraId="6D8E59A2" w14:textId="1B0692FA" w:rsidR="00287F54" w:rsidRPr="005827DC" w:rsidRDefault="00A92E79" w:rsidP="001152E2">
      <w:pPr>
        <w:pStyle w:val="ListParagraph"/>
        <w:numPr>
          <w:ilvl w:val="0"/>
          <w:numId w:val="1"/>
        </w:numPr>
        <w:spacing w:after="0" w:line="240" w:lineRule="auto"/>
        <w:rPr>
          <w:b/>
          <w:bCs/>
          <w:lang w:val="lv-LV"/>
        </w:rPr>
      </w:pPr>
      <w:r w:rsidRPr="005827DC">
        <w:rPr>
          <w:b/>
          <w:bCs/>
          <w:lang w:val="lv-LV"/>
        </w:rPr>
        <w:t>1.4.1.1.pasākums “Platjoslas infrastruktūras attīstība (</w:t>
      </w:r>
      <w:r w:rsidR="00D11CFC" w:rsidRPr="005827DC">
        <w:rPr>
          <w:b/>
          <w:bCs/>
          <w:lang w:val="lv-LV"/>
        </w:rPr>
        <w:t>“</w:t>
      </w:r>
      <w:r w:rsidRPr="005827DC">
        <w:rPr>
          <w:b/>
          <w:bCs/>
          <w:lang w:val="lv-LV"/>
        </w:rPr>
        <w:t>pēdējā jūdze”</w:t>
      </w:r>
      <w:r w:rsidR="00D11CFC" w:rsidRPr="005827DC">
        <w:rPr>
          <w:b/>
          <w:bCs/>
          <w:lang w:val="lv-LV"/>
        </w:rPr>
        <w:t>)</w:t>
      </w:r>
      <w:r w:rsidR="00174263" w:rsidRPr="005827DC">
        <w:rPr>
          <w:b/>
          <w:bCs/>
          <w:lang w:val="lv-LV"/>
        </w:rPr>
        <w:t>”</w:t>
      </w:r>
    </w:p>
    <w:p w14:paraId="0A494353" w14:textId="7452BDC6" w:rsidR="00DE065E" w:rsidRPr="005827DC" w:rsidRDefault="00DE065E" w:rsidP="001152E2">
      <w:pPr>
        <w:spacing w:after="0" w:line="240" w:lineRule="auto"/>
        <w:jc w:val="both"/>
        <w:rPr>
          <w:lang w:val="lv-LV"/>
        </w:rPr>
      </w:pPr>
      <w:r w:rsidRPr="005827DC">
        <w:rPr>
          <w:lang w:val="lv-LV"/>
        </w:rPr>
        <w:t>1.4.1.1. pasākuma projektu</w:t>
      </w:r>
      <w:r w:rsidRPr="005827DC">
        <w:rPr>
          <w:b/>
          <w:bCs/>
          <w:lang w:val="lv-LV"/>
        </w:rPr>
        <w:t xml:space="preserve"> mērķis</w:t>
      </w:r>
      <w:r w:rsidRPr="005827DC">
        <w:rPr>
          <w:lang w:val="lv-LV"/>
        </w:rPr>
        <w:t xml:space="preserve"> ir attīstīt tehnoloģiski neitrālus savienojumus, kas atbalsta ilgtspējīgu nākamās paaudzes fiksēto, bezvadu un satelīta savienojamību, lai nodrošinātu elektronisko sakaru pakalpojumu pieejamību galalietotājiem ("pēdējā jūdze"), lai veicinātu elektronisko sakaru pakalpojumu atbilstību Paziņojuma par savienojamību mērķiem.</w:t>
      </w:r>
    </w:p>
    <w:p w14:paraId="37A870AA" w14:textId="3586B64B" w:rsidR="00DE065E" w:rsidRPr="005827DC" w:rsidRDefault="00DE065E" w:rsidP="001152E2">
      <w:pPr>
        <w:spacing w:after="0" w:line="240" w:lineRule="auto"/>
        <w:jc w:val="both"/>
        <w:rPr>
          <w:lang w:val="lv-LV"/>
        </w:rPr>
      </w:pPr>
      <w:r w:rsidRPr="005827DC">
        <w:rPr>
          <w:lang w:val="lv-LV"/>
        </w:rPr>
        <w:t xml:space="preserve">Projektu </w:t>
      </w:r>
      <w:r w:rsidRPr="005827DC">
        <w:rPr>
          <w:b/>
          <w:bCs/>
          <w:lang w:val="lv-LV"/>
        </w:rPr>
        <w:t>stratēģiskā nozīme</w:t>
      </w:r>
      <w:r w:rsidRPr="005827DC">
        <w:rPr>
          <w:lang w:val="lv-LV"/>
        </w:rPr>
        <w:t xml:space="preserve"> ir pamatota Elektronisko sakaru nozares attīstības plānā 2021-2027, kas ir vidēja termiņa politikas plānošanas dokuments elektronisko sakaru nozares attīstībai valsts līmenī. Viens no galvenajiem plāna mērķiem ir veicināt pāreju uz platjoslas elektronisko sakaru tīkliem, kas spēj nodrošināt galalietotājiem interneta piekļuves pakalpojumus ar datu pārraides ātrumu vismaz 100 Mbit/s gan pilsētās, gan lauku teritorijās. Būtiska problēma š</w:t>
      </w:r>
      <w:r w:rsidR="00C174AD" w:rsidRPr="005827DC">
        <w:rPr>
          <w:lang w:val="lv-LV"/>
        </w:rPr>
        <w:t>ī</w:t>
      </w:r>
      <w:r w:rsidRPr="005827DC">
        <w:rPr>
          <w:lang w:val="lv-LV"/>
        </w:rPr>
        <w:t xml:space="preserve"> mērķa sasniegšanā ir "pēdējās jūdzes" infrastruktūras trūkums, kas spētu nodrošināt interneta piekļuves pakalpojumus galalietotājiem, kuri atbilstu Paziņojuma par savienojamību mērķiem reģionālā mērogā un teritorijās ārpus lielākajām pilsētām, tostarp </w:t>
      </w:r>
      <w:r w:rsidR="00C174AD" w:rsidRPr="005827DC">
        <w:rPr>
          <w:lang w:val="lv-LV"/>
        </w:rPr>
        <w:t>pilsētu tuvējās</w:t>
      </w:r>
      <w:r w:rsidRPr="005827DC">
        <w:rPr>
          <w:lang w:val="lv-LV"/>
        </w:rPr>
        <w:t xml:space="preserve"> teritorijās. </w:t>
      </w:r>
      <w:r w:rsidR="00C174AD" w:rsidRPr="005827DC">
        <w:rPr>
          <w:lang w:val="lv-LV"/>
        </w:rPr>
        <w:t>Ņemot vērā</w:t>
      </w:r>
      <w:r w:rsidRPr="005827DC">
        <w:rPr>
          <w:lang w:val="lv-LV"/>
        </w:rPr>
        <w:t xml:space="preserve"> augst</w:t>
      </w:r>
      <w:r w:rsidR="00C174AD" w:rsidRPr="005827DC">
        <w:rPr>
          <w:lang w:val="lv-LV"/>
        </w:rPr>
        <w:t>ās</w:t>
      </w:r>
      <w:r w:rsidRPr="005827DC">
        <w:rPr>
          <w:lang w:val="lv-LV"/>
        </w:rPr>
        <w:t xml:space="preserve"> tīkla izbūves izmaks</w:t>
      </w:r>
      <w:r w:rsidR="00C174AD" w:rsidRPr="005827DC">
        <w:rPr>
          <w:lang w:val="lv-LV"/>
        </w:rPr>
        <w:t>as,</w:t>
      </w:r>
      <w:r w:rsidRPr="005827DC">
        <w:rPr>
          <w:lang w:val="lv-LV"/>
        </w:rPr>
        <w:t xml:space="preserve"> elektronisko sakaru uzņēmumiem nav pietiekama ekonomiskā stimula attīstīt ļoti augstas veiktspējas elektronisko sakaru tīklus. 1.4.1.1. pasākuma projektiem ir stratēģiska nozīme, jo tie nodrošina sinerģiju starp ES fondu plānošanas periodu 2007-2013 un 2014-2020 investīcijām un investīcijām </w:t>
      </w:r>
      <w:r w:rsidR="000A738E" w:rsidRPr="000A738E">
        <w:rPr>
          <w:lang w:val="lv-LV"/>
        </w:rPr>
        <w:t>Eiropas Savienības</w:t>
      </w:r>
      <w:r w:rsidR="000A738E">
        <w:rPr>
          <w:lang w:val="lv-LV"/>
        </w:rPr>
        <w:t xml:space="preserve"> (turpmāk – ES)</w:t>
      </w:r>
      <w:r w:rsidR="000A738E" w:rsidRPr="000A738E">
        <w:rPr>
          <w:lang w:val="lv-LV"/>
        </w:rPr>
        <w:t xml:space="preserve"> fondu 2021.—2027. gada plānošanas </w:t>
      </w:r>
      <w:r w:rsidRPr="005827DC">
        <w:rPr>
          <w:lang w:val="lv-LV"/>
        </w:rPr>
        <w:t>periodā, un to rezultātiem ir tieša ietekme uz Elektronisko sakaru nozares attīstības plāna 2021-2027 un ES stratēģisko digitālo mērķu sasniegšanu.</w:t>
      </w:r>
    </w:p>
    <w:p w14:paraId="68D26F76" w14:textId="2A66DC64" w:rsidR="00FB21FE" w:rsidRPr="005827DC" w:rsidRDefault="00DE065E" w:rsidP="001152E2">
      <w:pPr>
        <w:spacing w:after="0" w:line="240" w:lineRule="auto"/>
        <w:jc w:val="both"/>
        <w:rPr>
          <w:lang w:val="lv-LV"/>
        </w:rPr>
      </w:pPr>
      <w:r w:rsidRPr="005827DC">
        <w:rPr>
          <w:lang w:val="lv-LV"/>
        </w:rPr>
        <w:t xml:space="preserve">Kopējais 1.4.1.1.1. pasākuma </w:t>
      </w:r>
      <w:r w:rsidRPr="005827DC">
        <w:rPr>
          <w:b/>
          <w:bCs/>
          <w:lang w:val="lv-LV"/>
        </w:rPr>
        <w:t>budžets</w:t>
      </w:r>
      <w:r w:rsidRPr="005827DC">
        <w:rPr>
          <w:lang w:val="lv-LV"/>
        </w:rPr>
        <w:t xml:space="preserve"> ir 8 700 000 EUR.</w:t>
      </w:r>
    </w:p>
    <w:p w14:paraId="1CF3B31F" w14:textId="4C2B6714" w:rsidR="001152E2" w:rsidRPr="005827DC" w:rsidRDefault="001152E2" w:rsidP="001152E2">
      <w:pPr>
        <w:pStyle w:val="ListParagraph"/>
        <w:spacing w:after="0" w:line="240" w:lineRule="auto"/>
        <w:jc w:val="both"/>
        <w:rPr>
          <w:lang w:val="lv-LV"/>
        </w:rPr>
      </w:pPr>
    </w:p>
    <w:p w14:paraId="381E5AA9" w14:textId="7F88CA8D" w:rsidR="001152E2" w:rsidRPr="005827DC" w:rsidRDefault="001152E2" w:rsidP="001152E2">
      <w:pPr>
        <w:pStyle w:val="ListParagraph"/>
        <w:spacing w:after="0" w:line="240" w:lineRule="auto"/>
        <w:jc w:val="both"/>
        <w:rPr>
          <w:lang w:val="lv-LV"/>
        </w:rPr>
      </w:pPr>
    </w:p>
    <w:p w14:paraId="38CC5D76" w14:textId="664139FD" w:rsidR="00BB3ACD" w:rsidRPr="005827DC" w:rsidRDefault="001152E2" w:rsidP="001152E2">
      <w:pPr>
        <w:pStyle w:val="ListParagraph"/>
        <w:numPr>
          <w:ilvl w:val="0"/>
          <w:numId w:val="1"/>
        </w:numPr>
        <w:spacing w:after="0" w:line="240" w:lineRule="auto"/>
        <w:jc w:val="both"/>
        <w:rPr>
          <w:b/>
          <w:bCs/>
          <w:lang w:val="lv-LV"/>
        </w:rPr>
      </w:pPr>
      <w:r w:rsidRPr="005827DC">
        <w:rPr>
          <w:rFonts w:eastAsia="Times New Roman" w:cs="Times New Roman"/>
          <w:b/>
          <w:bCs/>
          <w:color w:val="000000"/>
          <w:szCs w:val="24"/>
          <w:lang w:val="lv-LV" w:eastAsia="en-GB" w:bidi="ne-NP"/>
        </w:rPr>
        <w:t xml:space="preserve">2.1.1.1.pasākums “Energoefektivitātes paaugstināšana dzīvojamās ēkās, t.sk. attīstot ESKO tirgu (daudzīvokļu, privātās un neliela dzīvokļu skaita ēku kompleksos)” </w:t>
      </w:r>
    </w:p>
    <w:p w14:paraId="60A27EB6" w14:textId="77777777" w:rsidR="000E2D6F" w:rsidRPr="000E2D6F" w:rsidRDefault="000E2D6F" w:rsidP="000E2D6F">
      <w:pPr>
        <w:spacing w:after="0" w:line="240" w:lineRule="auto"/>
        <w:jc w:val="both"/>
        <w:rPr>
          <w:rFonts w:eastAsia="Times New Roman" w:cs="Times New Roman"/>
          <w:color w:val="000000"/>
          <w:szCs w:val="24"/>
          <w:lang w:val="lv-LV" w:eastAsia="en-GB" w:bidi="ne-NP"/>
        </w:rPr>
      </w:pPr>
      <w:r w:rsidRPr="000E2D6F">
        <w:rPr>
          <w:rFonts w:eastAsia="Times New Roman" w:cs="Times New Roman"/>
          <w:color w:val="000000"/>
          <w:szCs w:val="24"/>
          <w:lang w:val="lv-LV" w:eastAsia="en-GB" w:bidi="ne-NP"/>
        </w:rPr>
        <w:t xml:space="preserve">2.1.1.1. pasākuma projektu </w:t>
      </w:r>
      <w:r w:rsidRPr="000E2D6F">
        <w:rPr>
          <w:rFonts w:eastAsia="Times New Roman" w:cs="Times New Roman"/>
          <w:b/>
          <w:bCs/>
          <w:color w:val="000000"/>
          <w:szCs w:val="24"/>
          <w:lang w:val="lv-LV" w:eastAsia="en-GB" w:bidi="ne-NP"/>
        </w:rPr>
        <w:t>mērķis</w:t>
      </w:r>
      <w:r w:rsidRPr="000E2D6F">
        <w:rPr>
          <w:rFonts w:eastAsia="Times New Roman" w:cs="Times New Roman"/>
          <w:color w:val="000000"/>
          <w:szCs w:val="24"/>
          <w:lang w:val="lv-LV" w:eastAsia="en-GB" w:bidi="ne-NP"/>
        </w:rPr>
        <w:t xml:space="preserve"> ir dzīvojamo ēku, kā daudzdzīvokļu māju, privātmāju un neliela skaita ēku kompleksu atjaunošana, paaugstinot energoefektivitāti un sasniedzot vismaz 30% enerģijas ietaupījumu. Kā arī veicinot virzību uz nulles enerģijas ēkām un palielinot AER izmantošanu ēkās. Papildus tam, veicinot ne-emisiju tehnoloģiju (tehnoloģijas, kurās enerģijas ražošanā netiek radītas emisijas) uzstādīšanu līdzās energoefektivitātes pasākumiem, ja tās ir ekonomiski pamatotas. Vienlaikus atbalstot vides pieejamības uzlabošanas pasākumu īstenošanu, atbilstoši būvnormatīvos noteiktajām prasībām. </w:t>
      </w:r>
    </w:p>
    <w:p w14:paraId="54E3E3EF" w14:textId="77777777" w:rsidR="000E2D6F" w:rsidRPr="000E2D6F" w:rsidRDefault="000E2D6F" w:rsidP="000E2D6F">
      <w:pPr>
        <w:spacing w:after="0" w:line="240" w:lineRule="auto"/>
        <w:jc w:val="both"/>
        <w:rPr>
          <w:rFonts w:eastAsia="Times New Roman" w:cs="Times New Roman"/>
          <w:color w:val="000000"/>
          <w:szCs w:val="24"/>
          <w:lang w:val="lv-LV" w:eastAsia="en-GB" w:bidi="ne-NP"/>
        </w:rPr>
      </w:pPr>
      <w:r w:rsidRPr="000E2D6F">
        <w:rPr>
          <w:rFonts w:eastAsia="Times New Roman" w:cs="Times New Roman"/>
          <w:color w:val="000000"/>
          <w:szCs w:val="24"/>
          <w:lang w:val="lv-LV" w:eastAsia="en-GB" w:bidi="ne-NP"/>
        </w:rPr>
        <w:t xml:space="preserve">Projektu </w:t>
      </w:r>
      <w:r w:rsidRPr="000E2D6F">
        <w:rPr>
          <w:rFonts w:eastAsia="Times New Roman" w:cs="Times New Roman"/>
          <w:b/>
          <w:bCs/>
          <w:color w:val="000000"/>
          <w:szCs w:val="24"/>
          <w:lang w:val="lv-LV" w:eastAsia="en-GB" w:bidi="ne-NP"/>
        </w:rPr>
        <w:t>stratēģiskā nozīme</w:t>
      </w:r>
      <w:r w:rsidRPr="000E2D6F">
        <w:rPr>
          <w:rFonts w:eastAsia="Times New Roman" w:cs="Times New Roman"/>
          <w:color w:val="000000"/>
          <w:szCs w:val="24"/>
          <w:lang w:val="lv-LV" w:eastAsia="en-GB" w:bidi="ne-NP"/>
        </w:rPr>
        <w:t xml:space="preserve"> ir pamatota ar nepieciešamību  nodrošināt pastiprinātu komunikāciju, lai veicinātu dzīvojamo māju atjaunošanu un energoefektivitātes uzlabošanu. Sabiedrība “</w:t>
      </w:r>
      <w:proofErr w:type="spellStart"/>
      <w:r w:rsidRPr="000E2D6F">
        <w:rPr>
          <w:rFonts w:eastAsia="Times New Roman" w:cs="Times New Roman"/>
          <w:color w:val="000000"/>
          <w:szCs w:val="24"/>
          <w:lang w:val="lv-LV" w:eastAsia="en-GB" w:bidi="ne-NP"/>
        </w:rPr>
        <w:t>Altum</w:t>
      </w:r>
      <w:proofErr w:type="spellEnd"/>
      <w:r w:rsidRPr="000E2D6F">
        <w:rPr>
          <w:rFonts w:eastAsia="Times New Roman" w:cs="Times New Roman"/>
          <w:color w:val="000000"/>
          <w:szCs w:val="24"/>
          <w:lang w:val="lv-LV" w:eastAsia="en-GB" w:bidi="ne-NP"/>
        </w:rPr>
        <w:t xml:space="preserve">” un Ekonomikas ministrija stratēģiski svarīgiem projektiem nodrošinās koordinētas komunikācijas </w:t>
      </w:r>
      <w:r w:rsidRPr="000E2D6F">
        <w:rPr>
          <w:rFonts w:eastAsia="Times New Roman" w:cs="Times New Roman"/>
          <w:color w:val="000000"/>
          <w:szCs w:val="24"/>
          <w:lang w:val="lv-LV" w:eastAsia="en-GB" w:bidi="ne-NP"/>
        </w:rPr>
        <w:lastRenderedPageBreak/>
        <w:t xml:space="preserve">aktivitātes ar Eiropas Komisiju un Eiropas Komisijas pārstāvniecību Latvijā, tai skaitā Eiropas Komisijas pārstāvju dalību pasākumos, tā pastiprinot projektu nozīmību un svarīgumu. Ekonomikas ministrija pirms 12 gadiem uzsāka kustību “Dzīvo siltāk”, apvienojot namu pārvaldnieku, būvmateriālu ražotāju, būvniecības uzņēmumu, finanšu sektora un valsts pārvaldes pārstāvjus kopīgu mērķu sasniegšanai, vienojoties par kopīgu darbu mājokļu atjaunošanas veicināšanai. Šīs kustības ietvaros var tikt  identificēti stratēģiski svarīgi projekti dzīvojamo māju energoefektivitātes uzlabošanas programmā. Katru gadu notiek konkurss, kurā tiek izvērtētas un identificētas iepriekšējā gadā atjaunotās energoefektīvākās ēkas. Ar visu informāciju iespējams iepazīties tīmekļa vietnē </w:t>
      </w:r>
      <w:hyperlink r:id="rId8" w:history="1">
        <w:r w:rsidRPr="000E2D6F">
          <w:rPr>
            <w:rStyle w:val="Hyperlink"/>
            <w:rFonts w:eastAsia="Times New Roman" w:cs="Times New Roman"/>
            <w:szCs w:val="24"/>
          </w:rPr>
          <w:t>www.energoefektivakaeka.lv</w:t>
        </w:r>
      </w:hyperlink>
      <w:r w:rsidRPr="000E2D6F">
        <w:rPr>
          <w:rFonts w:eastAsia="Times New Roman" w:cs="Times New Roman"/>
          <w:color w:val="000000"/>
          <w:szCs w:val="24"/>
          <w:lang w:val="lv-LV" w:eastAsia="en-GB" w:bidi="ne-NP"/>
        </w:rPr>
        <w:t>.</w:t>
      </w:r>
    </w:p>
    <w:p w14:paraId="45AC1D2B" w14:textId="1FEC5D11" w:rsidR="000E2D6F" w:rsidRPr="000E2D6F" w:rsidRDefault="000E2D6F" w:rsidP="000E2D6F">
      <w:pPr>
        <w:spacing w:after="0" w:line="240" w:lineRule="auto"/>
        <w:jc w:val="both"/>
        <w:rPr>
          <w:rFonts w:eastAsia="Times New Roman" w:cs="Times New Roman"/>
          <w:color w:val="000000"/>
          <w:szCs w:val="24"/>
          <w:lang w:val="lv-LV" w:eastAsia="en-GB" w:bidi="ne-NP"/>
        </w:rPr>
      </w:pPr>
      <w:r w:rsidRPr="000E2D6F">
        <w:rPr>
          <w:rFonts w:eastAsia="Times New Roman" w:cs="Times New Roman"/>
          <w:color w:val="000000"/>
          <w:szCs w:val="24"/>
          <w:lang w:val="lv-LV" w:eastAsia="en-GB" w:bidi="ne-NP"/>
        </w:rPr>
        <w:t xml:space="preserve">Kopējais 2.1.1.1.pasākuma </w:t>
      </w:r>
      <w:r w:rsidRPr="000E2D6F">
        <w:rPr>
          <w:rFonts w:eastAsia="Times New Roman" w:cs="Times New Roman"/>
          <w:b/>
          <w:bCs/>
          <w:color w:val="000000"/>
          <w:szCs w:val="24"/>
          <w:lang w:val="lv-LV" w:eastAsia="en-GB" w:bidi="ne-NP"/>
        </w:rPr>
        <w:t>budžets</w:t>
      </w:r>
      <w:r w:rsidRPr="000E2D6F">
        <w:rPr>
          <w:rFonts w:eastAsia="Times New Roman" w:cs="Times New Roman"/>
          <w:color w:val="000000"/>
          <w:szCs w:val="24"/>
          <w:lang w:val="lv-LV" w:eastAsia="en-GB" w:bidi="ne-NP"/>
        </w:rPr>
        <w:t xml:space="preserve"> ir 173 218 154 EUR.</w:t>
      </w:r>
    </w:p>
    <w:p w14:paraId="68DBFDB5" w14:textId="5AA1079B" w:rsidR="001152E2" w:rsidRPr="00CF2FC6" w:rsidRDefault="001152E2" w:rsidP="00CF2FC6">
      <w:pPr>
        <w:spacing w:after="0" w:line="240" w:lineRule="auto"/>
        <w:jc w:val="both"/>
        <w:rPr>
          <w:rFonts w:eastAsia="Times New Roman" w:cs="Times New Roman"/>
          <w:color w:val="000000"/>
          <w:szCs w:val="24"/>
          <w:lang w:val="lv-LV" w:eastAsia="en-GB" w:bidi="ne-NP"/>
        </w:rPr>
      </w:pPr>
    </w:p>
    <w:p w14:paraId="6EADB300" w14:textId="77777777" w:rsidR="001152E2" w:rsidRPr="005827DC" w:rsidRDefault="001152E2" w:rsidP="001152E2">
      <w:pPr>
        <w:pStyle w:val="ListParagraph"/>
        <w:spacing w:after="0" w:line="240" w:lineRule="auto"/>
        <w:jc w:val="both"/>
        <w:rPr>
          <w:lang w:val="lv-LV"/>
        </w:rPr>
      </w:pPr>
    </w:p>
    <w:p w14:paraId="71E5C9BC" w14:textId="79B4A155" w:rsidR="00F636FA" w:rsidRPr="005827DC" w:rsidRDefault="00F636FA" w:rsidP="001152E2">
      <w:pPr>
        <w:pStyle w:val="ListParagraph"/>
        <w:numPr>
          <w:ilvl w:val="0"/>
          <w:numId w:val="1"/>
        </w:numPr>
        <w:spacing w:after="0" w:line="240" w:lineRule="auto"/>
        <w:jc w:val="both"/>
        <w:rPr>
          <w:rFonts w:cs="Times New Roman"/>
          <w:b/>
          <w:bCs/>
          <w:szCs w:val="24"/>
          <w:lang w:val="lv-LV"/>
        </w:rPr>
      </w:pPr>
      <w:r w:rsidRPr="005827DC">
        <w:rPr>
          <w:rFonts w:eastAsia="Times New Roman" w:cs="Times New Roman"/>
          <w:b/>
          <w:bCs/>
          <w:color w:val="000000"/>
          <w:szCs w:val="24"/>
          <w:lang w:val="lv-LV" w:eastAsia="en-GB" w:bidi="ne-NP"/>
        </w:rPr>
        <w:t>2.2.3.6.pasākums “Gaisa piesārņojumu mazinošu pasākumu īstenošana, uzlabojot mājsaimniecību siltumapgādes sistēma”</w:t>
      </w:r>
    </w:p>
    <w:p w14:paraId="3949AA35" w14:textId="2E6FEBAC" w:rsidR="00996F27" w:rsidRPr="00996F27" w:rsidRDefault="00996F27" w:rsidP="00996F27">
      <w:pPr>
        <w:spacing w:after="0" w:line="240" w:lineRule="auto"/>
        <w:jc w:val="both"/>
        <w:rPr>
          <w:rFonts w:cs="Times New Roman"/>
          <w:color w:val="000000"/>
          <w:szCs w:val="24"/>
          <w:lang w:val="lv-LV"/>
        </w:rPr>
      </w:pPr>
      <w:r w:rsidRPr="00996F27">
        <w:rPr>
          <w:rFonts w:cs="Times New Roman"/>
          <w:color w:val="000000"/>
          <w:szCs w:val="24"/>
          <w:lang w:val="lv-LV"/>
        </w:rPr>
        <w:t>2.2.3.6.</w:t>
      </w:r>
      <w:r>
        <w:rPr>
          <w:rFonts w:cs="Times New Roman"/>
          <w:color w:val="000000"/>
          <w:szCs w:val="24"/>
          <w:lang w:val="lv-LV"/>
        </w:rPr>
        <w:t>pasākuma</w:t>
      </w:r>
      <w:r w:rsidRPr="00996F27">
        <w:rPr>
          <w:rFonts w:cs="Times New Roman"/>
          <w:color w:val="000000"/>
          <w:szCs w:val="24"/>
          <w:lang w:val="lv-LV"/>
        </w:rPr>
        <w:t xml:space="preserve"> īstenošana paredzēta, jo gandrīz 90 % Latvijas iedzīvotāju ir pakļauti PM</w:t>
      </w:r>
      <w:r w:rsidRPr="00996F27">
        <w:rPr>
          <w:rFonts w:cs="Times New Roman"/>
          <w:color w:val="000000"/>
          <w:szCs w:val="24"/>
          <w:vertAlign w:val="subscript"/>
          <w:lang w:val="lv-LV"/>
        </w:rPr>
        <w:t>2.5</w:t>
      </w:r>
      <w:r w:rsidRPr="00996F27">
        <w:rPr>
          <w:rFonts w:cs="Times New Roman"/>
          <w:color w:val="000000"/>
          <w:szCs w:val="24"/>
          <w:lang w:val="lv-LV"/>
        </w:rPr>
        <w:t xml:space="preserve"> daļiņu iedarbībai līmenī, kas ir augstāks par Pasaules Veselības organizācijas vadlīnijās noteikto vērtību 10 µg/m</w:t>
      </w:r>
      <w:r w:rsidRPr="00996F27">
        <w:rPr>
          <w:rFonts w:cs="Times New Roman"/>
          <w:color w:val="000000"/>
          <w:szCs w:val="24"/>
          <w:vertAlign w:val="superscript"/>
          <w:lang w:val="lv-LV"/>
        </w:rPr>
        <w:t>3</w:t>
      </w:r>
      <w:r w:rsidRPr="00996F27">
        <w:rPr>
          <w:rFonts w:cs="Times New Roman"/>
          <w:color w:val="000000"/>
          <w:szCs w:val="24"/>
          <w:lang w:val="lv-LV"/>
        </w:rPr>
        <w:t>. Kaut gan biomasas iekārtas ir vienas no lielākajām PM</w:t>
      </w:r>
      <w:r w:rsidRPr="00996F27">
        <w:rPr>
          <w:rFonts w:cs="Times New Roman"/>
          <w:color w:val="000000"/>
          <w:szCs w:val="24"/>
          <w:vertAlign w:val="subscript"/>
          <w:lang w:val="lv-LV"/>
        </w:rPr>
        <w:t>2.5</w:t>
      </w:r>
      <w:r w:rsidRPr="00996F27">
        <w:rPr>
          <w:rFonts w:cs="Times New Roman"/>
          <w:color w:val="000000"/>
          <w:szCs w:val="24"/>
          <w:lang w:val="lv-LV"/>
        </w:rPr>
        <w:t xml:space="preserve"> daļiņu emitētājām, līdz šim atbalsts mājsaimniecību biomasas iekārtu nomaiņām ES fondu programmās nav bijis paredzēts, tādējādi šo investīciju īstenošana </w:t>
      </w:r>
      <w:r w:rsidRPr="00996F27">
        <w:rPr>
          <w:rFonts w:cs="Times New Roman"/>
          <w:b/>
          <w:bCs/>
          <w:color w:val="000000"/>
          <w:szCs w:val="24"/>
          <w:lang w:val="lv-LV"/>
        </w:rPr>
        <w:t>ir stratēģiski būtiska</w:t>
      </w:r>
      <w:r w:rsidRPr="00996F27">
        <w:rPr>
          <w:rFonts w:cs="Times New Roman"/>
          <w:color w:val="000000"/>
          <w:szCs w:val="24"/>
          <w:lang w:val="lv-LV"/>
        </w:rPr>
        <w:t xml:space="preserve">. Investīciju </w:t>
      </w:r>
      <w:r w:rsidRPr="00996F27">
        <w:rPr>
          <w:rFonts w:cs="Times New Roman"/>
          <w:b/>
          <w:bCs/>
          <w:color w:val="000000"/>
          <w:szCs w:val="24"/>
          <w:lang w:val="lv-LV"/>
        </w:rPr>
        <w:t xml:space="preserve">mērķis </w:t>
      </w:r>
      <w:r w:rsidRPr="00996F27">
        <w:rPr>
          <w:rFonts w:cs="Times New Roman"/>
          <w:color w:val="000000"/>
          <w:szCs w:val="24"/>
          <w:lang w:val="lv-LV"/>
        </w:rPr>
        <w:t>ir samazināt gaisa piesārņojuma (PM</w:t>
      </w:r>
      <w:r w:rsidRPr="00996F27">
        <w:rPr>
          <w:rFonts w:cs="Times New Roman"/>
          <w:color w:val="000000"/>
          <w:szCs w:val="24"/>
          <w:vertAlign w:val="subscript"/>
          <w:lang w:val="lv-LV"/>
        </w:rPr>
        <w:t>2.5</w:t>
      </w:r>
      <w:r w:rsidRPr="00996F27">
        <w:rPr>
          <w:rFonts w:cs="Times New Roman"/>
          <w:color w:val="000000"/>
          <w:szCs w:val="24"/>
          <w:lang w:val="lv-LV"/>
        </w:rPr>
        <w:t xml:space="preserve"> daļiņu, NMGOS un </w:t>
      </w:r>
      <w:proofErr w:type="spellStart"/>
      <w:r w:rsidRPr="00996F27">
        <w:rPr>
          <w:rFonts w:cs="Times New Roman"/>
          <w:color w:val="000000"/>
          <w:szCs w:val="24"/>
          <w:lang w:val="lv-LV"/>
        </w:rPr>
        <w:t>benz</w:t>
      </w:r>
      <w:proofErr w:type="spellEnd"/>
      <w:r w:rsidRPr="00996F27">
        <w:rPr>
          <w:rFonts w:cs="Times New Roman"/>
          <w:color w:val="000000"/>
          <w:szCs w:val="24"/>
          <w:lang w:val="lv-LV"/>
        </w:rPr>
        <w:t>(a)</w:t>
      </w:r>
      <w:proofErr w:type="spellStart"/>
      <w:r w:rsidRPr="00996F27">
        <w:rPr>
          <w:rFonts w:cs="Times New Roman"/>
          <w:color w:val="000000"/>
          <w:szCs w:val="24"/>
          <w:lang w:val="lv-LV"/>
        </w:rPr>
        <w:t>pirēna</w:t>
      </w:r>
      <w:proofErr w:type="spellEnd"/>
      <w:r w:rsidRPr="00996F27">
        <w:rPr>
          <w:rFonts w:cs="Times New Roman"/>
          <w:color w:val="000000"/>
          <w:szCs w:val="24"/>
          <w:lang w:val="lv-LV"/>
        </w:rPr>
        <w:t xml:space="preserve">) radīto negatīvo ietekmi uz vidi un cilvēku veselību, veicot sadedzināšanas iekārtu nomaiņu mājsaimniecību sektora dzīvojamās mājās, uzlabojot individuālo siltumapgādes sistēmu efektivitāti, ieviešot tehnoloģijas, kas būtiski samazina gaisa piesārņojumu, tai skaitā dzīvojamās mājas pieslēdzot efektīvām pilsētu centralizētajām siltumapgādes sistēmām. Prioritāri šāds investīciju atbalsts sniedzams tajās teritorijās, kur konstatēti gaisa piesārņojuma normatīvu pārsniegumi. Pasākumā plānotais </w:t>
      </w:r>
      <w:r w:rsidRPr="00996F27">
        <w:rPr>
          <w:rFonts w:cs="Times New Roman"/>
          <w:b/>
          <w:bCs/>
          <w:color w:val="000000"/>
          <w:szCs w:val="24"/>
          <w:lang w:val="lv-LV"/>
        </w:rPr>
        <w:t>kopējais attiecināmais finansējums</w:t>
      </w:r>
      <w:r w:rsidRPr="00996F27">
        <w:rPr>
          <w:rFonts w:cs="Times New Roman"/>
          <w:color w:val="000000"/>
          <w:szCs w:val="24"/>
          <w:lang w:val="lv-LV"/>
        </w:rPr>
        <w:t xml:space="preserve"> ir 14 639 082 EUR.</w:t>
      </w:r>
    </w:p>
    <w:p w14:paraId="3BCAB06D" w14:textId="77777777" w:rsidR="00F636FA" w:rsidRPr="005827DC" w:rsidRDefault="00F636FA" w:rsidP="001152E2">
      <w:pPr>
        <w:spacing w:after="0" w:line="240" w:lineRule="auto"/>
        <w:rPr>
          <w:rFonts w:cs="Times New Roman"/>
          <w:color w:val="000000"/>
          <w:szCs w:val="24"/>
          <w:lang w:val="lv-LV"/>
        </w:rPr>
      </w:pPr>
    </w:p>
    <w:p w14:paraId="256BB891" w14:textId="30946300" w:rsidR="00F636FA" w:rsidRPr="005827DC" w:rsidRDefault="00F636FA" w:rsidP="001152E2">
      <w:pPr>
        <w:pStyle w:val="ListParagraph"/>
        <w:spacing w:after="0" w:line="240" w:lineRule="auto"/>
        <w:jc w:val="both"/>
        <w:rPr>
          <w:lang w:val="lv-LV"/>
        </w:rPr>
      </w:pPr>
    </w:p>
    <w:p w14:paraId="780788D6" w14:textId="6E3BCC79" w:rsidR="00CD06B6" w:rsidRPr="005827DC" w:rsidRDefault="007C76FD" w:rsidP="001152E2">
      <w:pPr>
        <w:pStyle w:val="ListParagraph"/>
        <w:numPr>
          <w:ilvl w:val="0"/>
          <w:numId w:val="1"/>
        </w:numPr>
        <w:spacing w:after="0" w:line="240" w:lineRule="auto"/>
        <w:rPr>
          <w:b/>
          <w:bCs/>
          <w:lang w:val="lv-LV"/>
        </w:rPr>
      </w:pPr>
      <w:r w:rsidRPr="005827DC">
        <w:rPr>
          <w:b/>
          <w:bCs/>
          <w:lang w:val="lv-LV"/>
        </w:rPr>
        <w:t>2.3.1.2.pasākums “Multimodāls sabiedriskā transporta tīkls”</w:t>
      </w:r>
    </w:p>
    <w:p w14:paraId="25517512" w14:textId="77777777" w:rsidR="00BB4A54" w:rsidRPr="005827DC" w:rsidRDefault="00BB4A54" w:rsidP="00CC096A">
      <w:pPr>
        <w:spacing w:after="0" w:line="240" w:lineRule="auto"/>
        <w:jc w:val="both"/>
        <w:rPr>
          <w:lang w:val="lv-LV"/>
        </w:rPr>
      </w:pPr>
      <w:r w:rsidRPr="005827DC">
        <w:rPr>
          <w:lang w:val="lv-LV"/>
        </w:rPr>
        <w:t xml:space="preserve">2.3.1.2. pasākuma projektu </w:t>
      </w:r>
      <w:r w:rsidRPr="005827DC">
        <w:rPr>
          <w:b/>
          <w:bCs/>
          <w:lang w:val="lv-LV"/>
        </w:rPr>
        <w:t>mērķis</w:t>
      </w:r>
      <w:r w:rsidRPr="005827DC">
        <w:rPr>
          <w:lang w:val="lv-LV"/>
        </w:rPr>
        <w:t xml:space="preserve"> ir attīstīt multimodālu sabiedriskā transporta tīklu, izmantojot multimodālus mobilitātes punktus, </w:t>
      </w:r>
      <w:proofErr w:type="spellStart"/>
      <w:r w:rsidRPr="005827DC">
        <w:rPr>
          <w:i/>
          <w:iCs/>
          <w:lang w:val="lv-LV"/>
        </w:rPr>
        <w:t>Park&amp;Ride</w:t>
      </w:r>
      <w:proofErr w:type="spellEnd"/>
      <w:r w:rsidRPr="005827DC">
        <w:rPr>
          <w:lang w:val="lv-LV"/>
        </w:rPr>
        <w:t xml:space="preserve"> infrastruktūras attīstību (tostarp piemērotu maksas infrastruktūru).</w:t>
      </w:r>
    </w:p>
    <w:p w14:paraId="3DD2E7A5" w14:textId="2AB0DB8C" w:rsidR="00BB4A54" w:rsidRPr="005827DC" w:rsidRDefault="00BB4A54" w:rsidP="00CC096A">
      <w:pPr>
        <w:spacing w:after="0" w:line="240" w:lineRule="auto"/>
        <w:jc w:val="both"/>
        <w:rPr>
          <w:lang w:val="lv-LV"/>
        </w:rPr>
      </w:pPr>
      <w:r w:rsidRPr="005827DC">
        <w:rPr>
          <w:lang w:val="lv-LV"/>
        </w:rPr>
        <w:t xml:space="preserve">Projektu </w:t>
      </w:r>
      <w:r w:rsidRPr="005827DC">
        <w:rPr>
          <w:b/>
          <w:bCs/>
          <w:lang w:val="lv-LV"/>
        </w:rPr>
        <w:t>stratēģiskā nozīme</w:t>
      </w:r>
      <w:r w:rsidRPr="005827DC">
        <w:rPr>
          <w:lang w:val="lv-LV"/>
        </w:rPr>
        <w:t xml:space="preserve"> ir pamatota Transporta attīstības pamatnostādnēs 2021-2027, kas ir vidēja termiņa politikas plānošanas dokuments transporta nozares attīstībai valsts līmenī. Pamatnostādņu mērķis ir integrēta transporta sistēma, kas nodrošina drošu, efektīvu, pieejamu, gudru un ilgtspējīgu mobilitāti par pieņemamu cenu, veicinot valsts ekonomisko izaugsmi, reģionālo attīstību un nodrošinot virzību uz </w:t>
      </w:r>
      <w:proofErr w:type="spellStart"/>
      <w:r w:rsidRPr="005827DC">
        <w:rPr>
          <w:lang w:val="lv-LV"/>
        </w:rPr>
        <w:t>klimatneitrālu</w:t>
      </w:r>
      <w:proofErr w:type="spellEnd"/>
      <w:r w:rsidRPr="005827DC">
        <w:rPr>
          <w:lang w:val="lv-LV"/>
        </w:rPr>
        <w:t xml:space="preserve"> ekonomiku.</w:t>
      </w:r>
      <w:r w:rsidR="005114E4" w:rsidRPr="005827DC">
        <w:rPr>
          <w:lang w:val="lv-LV"/>
        </w:rPr>
        <w:t xml:space="preserve"> </w:t>
      </w:r>
      <w:r w:rsidRPr="005827DC">
        <w:rPr>
          <w:lang w:val="lv-LV"/>
        </w:rPr>
        <w:t xml:space="preserve">Mērķa pamatā ir viens no Eiropas Zaļā kursa elementiem - paātrināt pāreju uz ilgtspējīgu un viedu mobilitāti. Saskaņā ar Eiropas Zaļo kursu automatizētai un tīklā savienotai multimodālai mobilitātei būs aizvien lielāka nozīme. ES transporta sistēma un infrastruktūra ir jāsagatavo jauniem ilgtspējīgas mobilitātes pakalpojumiem, kas var samazināt sastrēgumus un piesārņojumu, jo īpaši pilsētu teritorijās. Šajā kontekstā Latvijā ir svarīga sabiedriskā transporta sistēmas attīstība, kuras kodols ir dzelzceļš, mobilitātes punktu attīstība, vienlaikus kopējā mobilitātē veicinot </w:t>
      </w:r>
      <w:proofErr w:type="spellStart"/>
      <w:r w:rsidRPr="005827DC">
        <w:rPr>
          <w:lang w:val="lv-LV"/>
        </w:rPr>
        <w:t>mikromobilitāti</w:t>
      </w:r>
      <w:proofErr w:type="spellEnd"/>
      <w:r w:rsidRPr="005827DC">
        <w:rPr>
          <w:lang w:val="lv-LV"/>
        </w:rPr>
        <w:t xml:space="preserve"> (velosipēdi, t.sk. skrejriteņi, līdzsvara un balansa riteņi u.c.).</w:t>
      </w:r>
      <w:r w:rsidR="00122C0C" w:rsidRPr="005827DC">
        <w:rPr>
          <w:lang w:val="lv-LV"/>
        </w:rPr>
        <w:t xml:space="preserve"> </w:t>
      </w:r>
      <w:r w:rsidRPr="005827DC">
        <w:rPr>
          <w:lang w:val="lv-LV"/>
        </w:rPr>
        <w:t xml:space="preserve">Lai turpinātu pilnveidot transporta infrastruktūru, turpmākajos gados jāparedz </w:t>
      </w:r>
      <w:proofErr w:type="spellStart"/>
      <w:r w:rsidRPr="005827DC">
        <w:rPr>
          <w:i/>
          <w:iCs/>
          <w:lang w:val="lv-LV"/>
        </w:rPr>
        <w:t>Park&amp;Ride</w:t>
      </w:r>
      <w:proofErr w:type="spellEnd"/>
      <w:r w:rsidRPr="005827DC">
        <w:rPr>
          <w:lang w:val="lv-LV"/>
        </w:rPr>
        <w:t xml:space="preserve"> infrastruktūras attīstība, kā arī jāveicina mobilitātes punktu attīstība, kas pozitīvi ietekmēs satiksmes plūsmu optimizāciju. Tāpēc 2.3.1.2.pasākuma projektu īstenošanai būs stratēģiski svarīga nozīme Eiropas Zaļā kursa un valsts politikas mērķu sasniegšanā transporta nozarē. </w:t>
      </w:r>
    </w:p>
    <w:p w14:paraId="16A51862" w14:textId="4D27ACB8" w:rsidR="00CD06B6" w:rsidRPr="005827DC" w:rsidRDefault="00BB4A54" w:rsidP="00CC096A">
      <w:pPr>
        <w:spacing w:after="0" w:line="240" w:lineRule="auto"/>
        <w:jc w:val="both"/>
        <w:rPr>
          <w:lang w:val="lv-LV"/>
        </w:rPr>
      </w:pPr>
      <w:r w:rsidRPr="005827DC">
        <w:rPr>
          <w:lang w:val="lv-LV"/>
        </w:rPr>
        <w:t xml:space="preserve">Kopējais 2.3.1.2. pasākuma </w:t>
      </w:r>
      <w:r w:rsidRPr="005827DC">
        <w:rPr>
          <w:b/>
          <w:bCs/>
          <w:lang w:val="lv-LV"/>
        </w:rPr>
        <w:t>budžets</w:t>
      </w:r>
      <w:r w:rsidRPr="005827DC">
        <w:rPr>
          <w:lang w:val="lv-LV"/>
        </w:rPr>
        <w:t xml:space="preserve"> ir 88 701 369 EUR.</w:t>
      </w:r>
    </w:p>
    <w:p w14:paraId="46490D6D" w14:textId="29B4BFF3" w:rsidR="002A2B9A" w:rsidRPr="005827DC" w:rsidRDefault="002A2B9A" w:rsidP="001152E2">
      <w:pPr>
        <w:pStyle w:val="ListParagraph"/>
        <w:spacing w:after="0" w:line="240" w:lineRule="auto"/>
        <w:jc w:val="both"/>
        <w:rPr>
          <w:lang w:val="lv-LV"/>
        </w:rPr>
      </w:pPr>
    </w:p>
    <w:p w14:paraId="1634913D" w14:textId="77777777" w:rsidR="00B427F5" w:rsidRPr="005827DC" w:rsidRDefault="00B427F5" w:rsidP="001152E2">
      <w:pPr>
        <w:pStyle w:val="ListParagraph"/>
        <w:spacing w:after="0" w:line="240" w:lineRule="auto"/>
        <w:jc w:val="both"/>
        <w:rPr>
          <w:lang w:val="lv-LV"/>
        </w:rPr>
      </w:pPr>
    </w:p>
    <w:p w14:paraId="0156C0EC" w14:textId="2E9C86F0" w:rsidR="00B166F6" w:rsidRPr="005827DC" w:rsidRDefault="007C76FD" w:rsidP="001152E2">
      <w:pPr>
        <w:pStyle w:val="ListParagraph"/>
        <w:numPr>
          <w:ilvl w:val="0"/>
          <w:numId w:val="1"/>
        </w:numPr>
        <w:spacing w:after="0" w:line="240" w:lineRule="auto"/>
        <w:jc w:val="both"/>
        <w:rPr>
          <w:b/>
          <w:bCs/>
          <w:lang w:val="lv-LV"/>
        </w:rPr>
      </w:pPr>
      <w:r w:rsidRPr="005827DC">
        <w:rPr>
          <w:b/>
          <w:bCs/>
          <w:lang w:val="lv-LV"/>
        </w:rPr>
        <w:t xml:space="preserve">3.1.1.1.pasākums “Dzelzceļa transporta attīstība un energoefektivitātes uzlabošana sabiedriskajos pasažieru pārvadājumos” </w:t>
      </w:r>
    </w:p>
    <w:p w14:paraId="30E79603" w14:textId="1110F877" w:rsidR="00F421B2" w:rsidRPr="005827DC" w:rsidRDefault="00434764" w:rsidP="00CC096A">
      <w:pPr>
        <w:spacing w:after="0" w:line="240" w:lineRule="auto"/>
        <w:jc w:val="both"/>
        <w:rPr>
          <w:lang w:val="lv-LV"/>
        </w:rPr>
      </w:pPr>
      <w:r w:rsidRPr="005827DC">
        <w:rPr>
          <w:lang w:val="lv-LV"/>
        </w:rPr>
        <w:t>3.1.1.1.pasākuma p</w:t>
      </w:r>
      <w:r w:rsidR="00F421B2" w:rsidRPr="005827DC">
        <w:rPr>
          <w:lang w:val="lv-LV"/>
        </w:rPr>
        <w:t xml:space="preserve">rojekta </w:t>
      </w:r>
      <w:r w:rsidR="00F421B2" w:rsidRPr="005827DC">
        <w:rPr>
          <w:b/>
          <w:bCs/>
          <w:lang w:val="lv-LV"/>
        </w:rPr>
        <w:t>mērķis</w:t>
      </w:r>
      <w:r w:rsidR="00F421B2" w:rsidRPr="005827DC">
        <w:rPr>
          <w:lang w:val="lv-LV"/>
        </w:rPr>
        <w:t xml:space="preserve"> ir uzlabot sabiedriskā pasažieru transporta energoefektivitāti, ieguldot līdzekļus esošās un jaunās dzelzceļa infrastruktūras elektrifikācijā TEN-T tīklā. Plānotas investīcijas esošā elektrificētā dzelzceļa tīkla (pasažieru pārvadājumiem) modernizācijā un attīstībā, kā arī </w:t>
      </w:r>
      <w:r w:rsidR="00F421B2" w:rsidRPr="005827DC">
        <w:rPr>
          <w:lang w:val="lv-LV"/>
        </w:rPr>
        <w:lastRenderedPageBreak/>
        <w:t xml:space="preserve">elektrificētā dzelzceļa tīkla paplašināšanā Rīgas aglomerācijā maršrutos, kuros pasažieru pārvadājumus pašlaik nodrošina dīzeļvilcieni. </w:t>
      </w:r>
    </w:p>
    <w:p w14:paraId="31BD5FB0" w14:textId="138DCC5F" w:rsidR="00F421B2" w:rsidRPr="005827DC" w:rsidRDefault="00C80926" w:rsidP="00CC096A">
      <w:pPr>
        <w:spacing w:after="0" w:line="240" w:lineRule="auto"/>
        <w:jc w:val="both"/>
        <w:rPr>
          <w:lang w:val="lv-LV"/>
        </w:rPr>
      </w:pPr>
      <w:r w:rsidRPr="005827DC">
        <w:rPr>
          <w:lang w:val="lv-LV"/>
        </w:rPr>
        <w:t>3.1.1.1.pasākuma p</w:t>
      </w:r>
      <w:r w:rsidR="00F421B2" w:rsidRPr="005827DC">
        <w:rPr>
          <w:lang w:val="lv-LV"/>
        </w:rPr>
        <w:t xml:space="preserve">rojekta </w:t>
      </w:r>
      <w:r w:rsidR="00F421B2" w:rsidRPr="005827DC">
        <w:rPr>
          <w:b/>
          <w:bCs/>
          <w:lang w:val="lv-LV"/>
        </w:rPr>
        <w:t>stratēģiskā nozīme</w:t>
      </w:r>
      <w:r w:rsidR="00F421B2" w:rsidRPr="005827DC">
        <w:rPr>
          <w:lang w:val="lv-LV"/>
        </w:rPr>
        <w:t xml:space="preserve"> ir pamatota Transporta attīstības pamatnostādnēs 2021-2027, kas ir vidēja termiņa politikas plānošanas dokuments transporta nozares attīstībai valsts līmenī. Pamatnostādņu mērķis ir integrēta transporta sistēma, kas nodrošina drošu, efektīvu, pieejamu, gudru un ilgtspējīgu mobilitāti, veicinot valsts ekonomisko izaugsmi, reģionālo attīstību un nodrošinot virzību uz </w:t>
      </w:r>
      <w:proofErr w:type="spellStart"/>
      <w:r w:rsidR="00F421B2" w:rsidRPr="005827DC">
        <w:rPr>
          <w:lang w:val="lv-LV"/>
        </w:rPr>
        <w:t>klimatneitrālu</w:t>
      </w:r>
      <w:proofErr w:type="spellEnd"/>
      <w:r w:rsidR="00F421B2" w:rsidRPr="005827DC">
        <w:rPr>
          <w:lang w:val="lv-LV"/>
        </w:rPr>
        <w:t xml:space="preserve"> ekonomiku</w:t>
      </w:r>
      <w:r w:rsidR="003B2403" w:rsidRPr="005827DC">
        <w:rPr>
          <w:lang w:val="lv-LV"/>
        </w:rPr>
        <w:t xml:space="preserve">, kura </w:t>
      </w:r>
      <w:r w:rsidR="00F421B2" w:rsidRPr="005827DC">
        <w:rPr>
          <w:lang w:val="lv-LV"/>
        </w:rPr>
        <w:t>pamatā ir viens no Eiropas Zaļā kursa elementiem - paātrināt pāreju uz ilgtspējīgu un viedu mobilitāti. Latvijas dzelzceļa tīkla zemais elektrifikācijas līmenis ir būtisks izaicinājums</w:t>
      </w:r>
      <w:r w:rsidR="001860FF" w:rsidRPr="005827DC">
        <w:rPr>
          <w:lang w:val="lv-LV"/>
        </w:rPr>
        <w:t xml:space="preserve"> šī mērķa sasniegšanā un d</w:t>
      </w:r>
      <w:r w:rsidR="00F421B2" w:rsidRPr="005827DC">
        <w:rPr>
          <w:lang w:val="lv-LV"/>
        </w:rPr>
        <w:t>zelzceļa tīkla elektrifikācija ir noteikt</w:t>
      </w:r>
      <w:r w:rsidR="00B9700F" w:rsidRPr="005827DC">
        <w:rPr>
          <w:lang w:val="lv-LV"/>
        </w:rPr>
        <w:t>s</w:t>
      </w:r>
      <w:r w:rsidR="00F421B2" w:rsidRPr="005827DC">
        <w:rPr>
          <w:lang w:val="lv-LV"/>
        </w:rPr>
        <w:t xml:space="preserve"> kā viens no uzdevumiem Transporta attīstības pamatnostādnēs 2021-2027, kā arī </w:t>
      </w:r>
      <w:r w:rsidR="00B9700F" w:rsidRPr="005827DC">
        <w:rPr>
          <w:lang w:val="lv-LV"/>
        </w:rPr>
        <w:t>tam</w:t>
      </w:r>
      <w:r w:rsidR="00F421B2" w:rsidRPr="005827DC">
        <w:rPr>
          <w:lang w:val="lv-LV"/>
        </w:rPr>
        <w:t xml:space="preserve"> ir svarīga loma Zaļā kursa mērķu sasniegšanā</w:t>
      </w:r>
      <w:r w:rsidR="006E6758" w:rsidRPr="005827DC">
        <w:rPr>
          <w:lang w:val="lv-LV"/>
        </w:rPr>
        <w:t xml:space="preserve">, </w:t>
      </w:r>
      <w:r w:rsidR="00F421B2" w:rsidRPr="005827DC">
        <w:rPr>
          <w:lang w:val="lv-LV"/>
        </w:rPr>
        <w:t>nodrošinot videi draudzīgāku transportu. 3.1.1.1. pasākum</w:t>
      </w:r>
      <w:r w:rsidR="00B9700F" w:rsidRPr="005827DC">
        <w:rPr>
          <w:lang w:val="lv-LV"/>
        </w:rPr>
        <w:t>a</w:t>
      </w:r>
      <w:r w:rsidR="00F54419" w:rsidRPr="005827DC">
        <w:rPr>
          <w:lang w:val="lv-LV"/>
        </w:rPr>
        <w:t xml:space="preserve"> projekta īstenošana </w:t>
      </w:r>
      <w:r w:rsidR="00F421B2" w:rsidRPr="005827DC">
        <w:rPr>
          <w:lang w:val="lv-LV"/>
        </w:rPr>
        <w:t xml:space="preserve">tādējādi būs stratēģiski nozīmīgs </w:t>
      </w:r>
      <w:r w:rsidR="00F54419" w:rsidRPr="005827DC">
        <w:rPr>
          <w:lang w:val="lv-LV"/>
        </w:rPr>
        <w:t xml:space="preserve">solis </w:t>
      </w:r>
      <w:r w:rsidR="00F421B2" w:rsidRPr="005827DC">
        <w:rPr>
          <w:lang w:val="lv-LV"/>
        </w:rPr>
        <w:t xml:space="preserve">Zaļā kursa un valsts politikas mērķu sasniegšanā attiecībā uz dzelzceļa </w:t>
      </w:r>
      <w:r w:rsidR="005A1F27" w:rsidRPr="005827DC">
        <w:rPr>
          <w:lang w:val="lv-LV"/>
        </w:rPr>
        <w:t xml:space="preserve">tīkla </w:t>
      </w:r>
      <w:r w:rsidR="00F421B2" w:rsidRPr="005827DC">
        <w:rPr>
          <w:lang w:val="lv-LV"/>
        </w:rPr>
        <w:t>elektrifikāciju.</w:t>
      </w:r>
    </w:p>
    <w:p w14:paraId="1CA704B9" w14:textId="6776A1BD" w:rsidR="000C2484" w:rsidRPr="005827DC" w:rsidRDefault="000C2484" w:rsidP="000C2484">
      <w:pPr>
        <w:spacing w:after="0" w:line="240" w:lineRule="auto"/>
        <w:jc w:val="both"/>
        <w:rPr>
          <w:lang w:val="lv-LV"/>
        </w:rPr>
      </w:pPr>
      <w:r>
        <w:rPr>
          <w:lang w:val="lv-LV"/>
        </w:rPr>
        <w:t xml:space="preserve">Kopējais </w:t>
      </w:r>
      <w:r w:rsidRPr="005827DC">
        <w:rPr>
          <w:lang w:val="lv-LV"/>
        </w:rPr>
        <w:t>3.1.1.1.</w:t>
      </w:r>
      <w:r>
        <w:rPr>
          <w:lang w:val="lv-LV"/>
        </w:rPr>
        <w:t>p</w:t>
      </w:r>
      <w:r w:rsidRPr="005827DC">
        <w:rPr>
          <w:lang w:val="lv-LV"/>
        </w:rPr>
        <w:t>asākuma</w:t>
      </w:r>
      <w:r w:rsidRPr="005827DC" w:rsidDel="00AF2744">
        <w:rPr>
          <w:lang w:val="lv-LV"/>
        </w:rPr>
        <w:t xml:space="preserve"> </w:t>
      </w:r>
      <w:r w:rsidRPr="005827DC">
        <w:rPr>
          <w:lang w:val="lv-LV"/>
        </w:rPr>
        <w:t xml:space="preserve"> projekta </w:t>
      </w:r>
      <w:r w:rsidRPr="005827DC">
        <w:rPr>
          <w:b/>
          <w:bCs/>
          <w:lang w:val="lv-LV"/>
        </w:rPr>
        <w:t>budžets</w:t>
      </w:r>
      <w:r w:rsidRPr="005827DC">
        <w:rPr>
          <w:lang w:val="lv-LV"/>
        </w:rPr>
        <w:t xml:space="preserve"> ir 264 920</w:t>
      </w:r>
      <w:r>
        <w:rPr>
          <w:lang w:val="lv-LV"/>
        </w:rPr>
        <w:t> </w:t>
      </w:r>
      <w:r w:rsidRPr="005827DC">
        <w:rPr>
          <w:lang w:val="lv-LV"/>
        </w:rPr>
        <w:t>521</w:t>
      </w:r>
      <w:r w:rsidRPr="00AF2744">
        <w:rPr>
          <w:lang w:val="lv-LV"/>
        </w:rPr>
        <w:t xml:space="preserve"> </w:t>
      </w:r>
      <w:r w:rsidRPr="005827DC">
        <w:rPr>
          <w:lang w:val="lv-LV"/>
        </w:rPr>
        <w:t>EUR.</w:t>
      </w:r>
    </w:p>
    <w:p w14:paraId="03DD58F1" w14:textId="6CEB9218" w:rsidR="00AD2B81" w:rsidRPr="005827DC" w:rsidRDefault="00AD2B81" w:rsidP="001152E2">
      <w:pPr>
        <w:pStyle w:val="ListParagraph"/>
        <w:spacing w:after="0" w:line="240" w:lineRule="auto"/>
        <w:jc w:val="both"/>
        <w:rPr>
          <w:lang w:val="lv-LV"/>
        </w:rPr>
      </w:pPr>
    </w:p>
    <w:p w14:paraId="164F2114" w14:textId="2171E12A" w:rsidR="001152E2" w:rsidRPr="005827DC" w:rsidRDefault="001152E2" w:rsidP="001152E2">
      <w:pPr>
        <w:pStyle w:val="ListParagraph"/>
        <w:spacing w:after="0" w:line="240" w:lineRule="auto"/>
        <w:jc w:val="both"/>
        <w:rPr>
          <w:lang w:val="lv-LV"/>
        </w:rPr>
      </w:pPr>
    </w:p>
    <w:p w14:paraId="796EF444" w14:textId="088A7834" w:rsidR="00B427F5" w:rsidRPr="005827DC" w:rsidRDefault="00B427F5" w:rsidP="00B427F5">
      <w:pPr>
        <w:pStyle w:val="ListParagraph"/>
        <w:numPr>
          <w:ilvl w:val="0"/>
          <w:numId w:val="1"/>
        </w:numPr>
        <w:spacing w:after="0" w:line="240" w:lineRule="auto"/>
        <w:jc w:val="both"/>
        <w:rPr>
          <w:rFonts w:eastAsia="Times New Roman" w:cs="Times New Roman"/>
          <w:b/>
          <w:bCs/>
          <w:color w:val="000000"/>
          <w:szCs w:val="24"/>
          <w:lang w:val="lv-LV" w:eastAsia="en-GB" w:bidi="ne-NP"/>
        </w:rPr>
      </w:pPr>
      <w:r w:rsidRPr="005827DC">
        <w:rPr>
          <w:rFonts w:eastAsia="Times New Roman" w:cs="Times New Roman"/>
          <w:b/>
          <w:bCs/>
          <w:color w:val="000000"/>
          <w:szCs w:val="24"/>
          <w:lang w:val="lv-LV" w:eastAsia="en-GB" w:bidi="ne-NP"/>
        </w:rPr>
        <w:t>4.1.1.2.pasākums “</w:t>
      </w:r>
      <w:proofErr w:type="spellStart"/>
      <w:r w:rsidRPr="005827DC">
        <w:rPr>
          <w:rFonts w:eastAsia="Times New Roman" w:cs="Times New Roman"/>
          <w:b/>
          <w:bCs/>
          <w:color w:val="000000"/>
          <w:szCs w:val="24"/>
          <w:lang w:val="lv-LV" w:eastAsia="en-GB" w:bidi="ne-NP"/>
        </w:rPr>
        <w:t>P.Stradiņa</w:t>
      </w:r>
      <w:proofErr w:type="spellEnd"/>
      <w:r w:rsidRPr="005827DC">
        <w:rPr>
          <w:rFonts w:eastAsia="Times New Roman" w:cs="Times New Roman"/>
          <w:b/>
          <w:bCs/>
          <w:color w:val="000000"/>
          <w:szCs w:val="24"/>
          <w:lang w:val="lv-LV" w:eastAsia="en-GB" w:bidi="ne-NP"/>
        </w:rPr>
        <w:t xml:space="preserve"> klīniskās universitātes slimnīcas infrastruktūras attīstība” </w:t>
      </w:r>
    </w:p>
    <w:p w14:paraId="62970B7D" w14:textId="77777777" w:rsidR="00375458" w:rsidRPr="00375458" w:rsidRDefault="00375458" w:rsidP="00375458">
      <w:pPr>
        <w:spacing w:after="0" w:line="240" w:lineRule="auto"/>
        <w:jc w:val="both"/>
        <w:rPr>
          <w:rFonts w:eastAsia="Times New Roman" w:cs="Times New Roman"/>
          <w:color w:val="000000"/>
          <w:szCs w:val="24"/>
          <w:lang w:val="lv-LV" w:eastAsia="en-GB" w:bidi="ne-NP"/>
        </w:rPr>
      </w:pPr>
      <w:r w:rsidRPr="00375458">
        <w:rPr>
          <w:rFonts w:eastAsia="Times New Roman" w:cs="Times New Roman"/>
          <w:color w:val="000000"/>
          <w:szCs w:val="24"/>
          <w:lang w:val="lv-LV" w:eastAsia="en-GB" w:bidi="ne-NP"/>
        </w:rPr>
        <w:t xml:space="preserve">4.1.1.2. pasākuma projekta </w:t>
      </w:r>
      <w:r w:rsidRPr="00375458">
        <w:rPr>
          <w:rFonts w:eastAsia="Times New Roman" w:cs="Times New Roman"/>
          <w:b/>
          <w:bCs/>
          <w:color w:val="000000"/>
          <w:szCs w:val="24"/>
          <w:lang w:val="lv-LV" w:eastAsia="en-GB" w:bidi="ne-NP"/>
        </w:rPr>
        <w:t>mērķis</w:t>
      </w:r>
      <w:r w:rsidRPr="00375458">
        <w:rPr>
          <w:rFonts w:eastAsia="Times New Roman" w:cs="Times New Roman"/>
          <w:color w:val="000000"/>
          <w:szCs w:val="24"/>
          <w:lang w:val="lv-LV" w:eastAsia="en-GB" w:bidi="ne-NP"/>
        </w:rPr>
        <w:t xml:space="preserve"> ir nodrošināt vienlīdzīgu piekļuvi veselības aprūpei un stiprināt veselības sistēmu, attīstot veselības aprūpes infrastruktūru.</w:t>
      </w:r>
    </w:p>
    <w:p w14:paraId="57A09945" w14:textId="77777777" w:rsidR="00375458" w:rsidRPr="00375458" w:rsidRDefault="00375458" w:rsidP="00375458">
      <w:pPr>
        <w:spacing w:after="0" w:line="240" w:lineRule="auto"/>
        <w:jc w:val="both"/>
        <w:rPr>
          <w:rFonts w:eastAsia="Times New Roman" w:cs="Times New Roman"/>
          <w:color w:val="000000"/>
          <w:szCs w:val="24"/>
          <w:lang w:val="lv-LV" w:eastAsia="en-GB" w:bidi="ne-NP"/>
        </w:rPr>
      </w:pPr>
      <w:r w:rsidRPr="00375458">
        <w:rPr>
          <w:rFonts w:eastAsia="Times New Roman" w:cs="Times New Roman"/>
          <w:color w:val="000000"/>
          <w:szCs w:val="24"/>
          <w:lang w:val="lv-LV" w:eastAsia="en-GB" w:bidi="ne-NP"/>
        </w:rPr>
        <w:t>4.1.1.2. pasākuma ietvaros plānotā</w:t>
      </w:r>
      <w:r w:rsidRPr="00375458">
        <w:rPr>
          <w:lang w:val="lv-LV"/>
        </w:rPr>
        <w:t xml:space="preserve"> </w:t>
      </w:r>
      <w:r w:rsidRPr="00375458">
        <w:rPr>
          <w:rFonts w:eastAsia="Times New Roman" w:cs="Times New Roman"/>
          <w:color w:val="000000"/>
          <w:szCs w:val="24"/>
          <w:lang w:val="lv-LV" w:eastAsia="en-GB" w:bidi="ne-NP"/>
        </w:rPr>
        <w:t xml:space="preserve">VSIA “Paula Stradiņa klīniskā universitātes slimnīca” jaunā B korpusa (turpmāk – PSKUS) attīstības projekta </w:t>
      </w:r>
      <w:r w:rsidRPr="00375458">
        <w:rPr>
          <w:rFonts w:eastAsia="Times New Roman" w:cs="Times New Roman"/>
          <w:b/>
          <w:bCs/>
          <w:color w:val="000000"/>
          <w:szCs w:val="24"/>
          <w:lang w:val="lv-LV" w:eastAsia="en-GB" w:bidi="ne-NP"/>
        </w:rPr>
        <w:t>stratēģiskā nozīme</w:t>
      </w:r>
      <w:r w:rsidRPr="00375458">
        <w:rPr>
          <w:rFonts w:eastAsia="Times New Roman" w:cs="Times New Roman"/>
          <w:color w:val="000000"/>
          <w:szCs w:val="24"/>
          <w:lang w:val="lv-LV" w:eastAsia="en-GB" w:bidi="ne-NP"/>
        </w:rPr>
        <w:t xml:space="preserve"> ir pamatota un noteikta Nacionālajā attīstības plānā 2021.-2027.gadam, Sabiedrības veselības pamatnostādnēs 2021.–2027.gadam, informatīvajā ziņojumā “Par veselības aprūpes nodrošināšanas infrastruktūras attīstības investīciju stratēģiju 2021.-2027. gadam” (2022.gada 14.jūlija Ministru kabineta </w:t>
      </w:r>
      <w:proofErr w:type="spellStart"/>
      <w:r w:rsidRPr="00375458">
        <w:rPr>
          <w:rFonts w:eastAsia="Times New Roman" w:cs="Times New Roman"/>
          <w:color w:val="000000"/>
          <w:szCs w:val="24"/>
          <w:lang w:val="lv-LV" w:eastAsia="en-GB" w:bidi="ne-NP"/>
        </w:rPr>
        <w:t>protokollēmums</w:t>
      </w:r>
      <w:proofErr w:type="spellEnd"/>
      <w:r w:rsidRPr="00375458">
        <w:rPr>
          <w:rFonts w:eastAsia="Times New Roman" w:cs="Times New Roman"/>
          <w:color w:val="000000"/>
          <w:szCs w:val="24"/>
          <w:lang w:val="lv-LV" w:eastAsia="en-GB" w:bidi="ne-NP"/>
        </w:rPr>
        <w:t xml:space="preserve"> Nr.36 105.§ (22-TA-1198)), kā arī informatīvajā ziņojumā “Par VSIA “Paula Stradiņa klīniskā universitātes slimnīca” jaunā B korpusa attīstību” (2021.gada 7.septembra Ministru kabineta </w:t>
      </w:r>
      <w:proofErr w:type="spellStart"/>
      <w:r w:rsidRPr="00375458">
        <w:rPr>
          <w:rFonts w:eastAsia="Times New Roman" w:cs="Times New Roman"/>
          <w:color w:val="000000"/>
          <w:szCs w:val="24"/>
          <w:lang w:val="lv-LV" w:eastAsia="en-GB" w:bidi="ne-NP"/>
        </w:rPr>
        <w:t>protokollēmums</w:t>
      </w:r>
      <w:proofErr w:type="spellEnd"/>
      <w:r w:rsidRPr="00375458">
        <w:rPr>
          <w:rFonts w:eastAsia="Times New Roman" w:cs="Times New Roman"/>
          <w:color w:val="000000"/>
          <w:szCs w:val="24"/>
          <w:lang w:val="lv-LV" w:eastAsia="en-GB" w:bidi="ne-NP"/>
        </w:rPr>
        <w:t xml:space="preserve"> Nr.60 54.§ (TA-1804-IP)).</w:t>
      </w:r>
    </w:p>
    <w:p w14:paraId="4724C442" w14:textId="77777777" w:rsidR="00375458" w:rsidRPr="00375458" w:rsidRDefault="00375458" w:rsidP="00375458">
      <w:pPr>
        <w:spacing w:after="0" w:line="240" w:lineRule="auto"/>
        <w:jc w:val="both"/>
        <w:rPr>
          <w:rFonts w:eastAsia="Times New Roman" w:cs="Times New Roman"/>
          <w:color w:val="000000"/>
          <w:szCs w:val="24"/>
          <w:lang w:val="lv-LV" w:eastAsia="en-GB" w:bidi="ne-NP"/>
        </w:rPr>
      </w:pPr>
      <w:r w:rsidRPr="00375458">
        <w:rPr>
          <w:rFonts w:eastAsia="Times New Roman" w:cs="Times New Roman"/>
          <w:color w:val="000000"/>
          <w:szCs w:val="24"/>
          <w:lang w:val="lv-LV" w:eastAsia="en-GB" w:bidi="ne-NP"/>
        </w:rPr>
        <w:t xml:space="preserve">PSKUS ir vadošā Latvijas universitātes slimnīca Latvijā, kuras galvenie darbības virzieni ir sekundāra un terciāra līmeņa ambulatora un stacionāra ārstniecība (neatliekamā un plānveida), studentu un rezidentu apmācība, veselības aprūpes speciālistu tālākizglītība, kā arī zinātniskā un pētnieciskā darbība. PSKUS tiek nodrošināta ne tikai ikdienas medicīniskā, tostarp neatliekamā palīdzība 26 dažādos ārstnieciskajos profilos, bet arī unikāli ārstnieciskie pakalpojumi kas nav pieejami citās medicīnas iestādēs, tādās medicīnas nozarēs kā kardioloģija, </w:t>
      </w:r>
      <w:proofErr w:type="spellStart"/>
      <w:r w:rsidRPr="00375458">
        <w:rPr>
          <w:rFonts w:eastAsia="Times New Roman" w:cs="Times New Roman"/>
          <w:color w:val="000000"/>
          <w:szCs w:val="24"/>
          <w:lang w:val="lv-LV" w:eastAsia="en-GB" w:bidi="ne-NP"/>
        </w:rPr>
        <w:t>kardioķirurģija</w:t>
      </w:r>
      <w:proofErr w:type="spellEnd"/>
      <w:r w:rsidRPr="00375458">
        <w:rPr>
          <w:rFonts w:eastAsia="Times New Roman" w:cs="Times New Roman"/>
          <w:color w:val="000000"/>
          <w:szCs w:val="24"/>
          <w:lang w:val="lv-LV" w:eastAsia="en-GB" w:bidi="ne-NP"/>
        </w:rPr>
        <w:t xml:space="preserve">, orgānu transplantācija, </w:t>
      </w:r>
      <w:proofErr w:type="spellStart"/>
      <w:r w:rsidRPr="00375458">
        <w:rPr>
          <w:rFonts w:eastAsia="Times New Roman" w:cs="Times New Roman"/>
          <w:color w:val="000000"/>
          <w:szCs w:val="24"/>
          <w:lang w:val="lv-LV" w:eastAsia="en-GB" w:bidi="ne-NP"/>
        </w:rPr>
        <w:t>endovazālā</w:t>
      </w:r>
      <w:proofErr w:type="spellEnd"/>
      <w:r w:rsidRPr="00375458">
        <w:rPr>
          <w:rFonts w:eastAsia="Times New Roman" w:cs="Times New Roman"/>
          <w:color w:val="000000"/>
          <w:szCs w:val="24"/>
          <w:lang w:val="lv-LV" w:eastAsia="en-GB" w:bidi="ne-NP"/>
        </w:rPr>
        <w:t xml:space="preserve"> asinsvadu ķirurģija, aroda un radiācijas medicīna, grūtnieču patoloģijas un mutes, sejas un žokļu ķirurģija. Papildu PSKUS nodrošina arī no reģionālajām ārstniecības iestādēm pārvesto pacientu veselības aprūpi.</w:t>
      </w:r>
    </w:p>
    <w:p w14:paraId="6889E9CC" w14:textId="77777777" w:rsidR="00375458" w:rsidRPr="00375458" w:rsidRDefault="00375458" w:rsidP="00375458">
      <w:pPr>
        <w:spacing w:after="0" w:line="240" w:lineRule="auto"/>
        <w:jc w:val="both"/>
        <w:rPr>
          <w:rFonts w:eastAsia="Times New Roman" w:cs="Times New Roman"/>
          <w:color w:val="000000"/>
          <w:szCs w:val="24"/>
          <w:lang w:val="lv-LV" w:eastAsia="en-GB" w:bidi="ne-NP"/>
        </w:rPr>
      </w:pPr>
      <w:r w:rsidRPr="00375458">
        <w:rPr>
          <w:rFonts w:eastAsia="Times New Roman" w:cs="Times New Roman"/>
          <w:color w:val="000000"/>
          <w:szCs w:val="24"/>
          <w:lang w:val="lv-LV" w:eastAsia="en-GB" w:bidi="ne-NP"/>
        </w:rPr>
        <w:t>PSKUS kā augstākā līmeņa stacionārā ārstniecības iestāde savu nozīmību un lomu veselības aprūpē Latvijā ir lieliski pierādījusi arī Covid-19 pandēmijas apstākļos, nodrošinot veselības aprūpi, uzņemoties vadošo lomu Covid-19 ārstēšanā, nodrošinot valsts mērogā metodisko, konsultatīvo atbalstu Valsts operatīvajai medicīniskajai komisijai un ārstniecības personām citās Latvijas slimnīcās, piedāvājot risinājumus un daloties pieredzē infekcijas izplatības ierobežošanai, īstenojot sadarbību ar citām, zemāka līmeņa slimnīcām sadarbības teritorijas ietvaros, ar mērķi nodrošināt savlaicīgu ārstnieciskās palīdzības sniegšanu visiem, tostarp hronisko slimību pacientiem, kā arī sniedzot būtisku ieguldījumu sabiedrības veselības veicināšanas un profilakses jautājumos.</w:t>
      </w:r>
    </w:p>
    <w:p w14:paraId="0DDB1E70" w14:textId="77777777" w:rsidR="00375458" w:rsidRPr="00375458" w:rsidRDefault="00375458" w:rsidP="00375458">
      <w:pPr>
        <w:spacing w:after="0" w:line="240" w:lineRule="auto"/>
        <w:jc w:val="both"/>
        <w:rPr>
          <w:rFonts w:eastAsia="Times New Roman" w:cs="Times New Roman"/>
          <w:color w:val="000000"/>
          <w:szCs w:val="24"/>
          <w:lang w:val="lv-LV" w:eastAsia="en-GB" w:bidi="ne-NP"/>
        </w:rPr>
      </w:pPr>
      <w:r w:rsidRPr="00375458">
        <w:rPr>
          <w:rFonts w:eastAsia="Times New Roman" w:cs="Times New Roman"/>
          <w:color w:val="000000"/>
          <w:szCs w:val="24"/>
          <w:lang w:val="lv-LV" w:eastAsia="en-GB" w:bidi="ne-NP"/>
        </w:rPr>
        <w:t>Lai nodrošinātu valsts apmaksāto veselības aprūpes pakalpojumu pieejamību visiem Latvijas iedzīvotājiem, būtiski ir turpināt plānveidīgu PSKUS infrastruktūras attīstību un nodrošināt B ēkas jaunbūves projekta virzību, tādējādi nodrošinot visa PSKUS kompleksa pilnīgu attīstību koordinētu, efektīvu veselības aprūpes pakalpojumu nodrošināšanai.</w:t>
      </w:r>
    </w:p>
    <w:p w14:paraId="2A2B74AC" w14:textId="16DAEB03" w:rsidR="00375458" w:rsidRPr="00375458" w:rsidRDefault="00375458" w:rsidP="00375458">
      <w:pPr>
        <w:spacing w:after="0" w:line="240" w:lineRule="auto"/>
        <w:jc w:val="both"/>
        <w:rPr>
          <w:rFonts w:eastAsia="Times New Roman" w:cs="Times New Roman"/>
          <w:color w:val="000000"/>
          <w:szCs w:val="24"/>
          <w:lang w:val="lv-LV" w:eastAsia="en-GB" w:bidi="ne-NP"/>
        </w:rPr>
      </w:pPr>
      <w:r w:rsidRPr="00375458">
        <w:rPr>
          <w:szCs w:val="24"/>
          <w:lang w:val="lv-LV"/>
        </w:rPr>
        <w:t xml:space="preserve">4.1.1.2. pasākuma ietvaros plānotais </w:t>
      </w:r>
      <w:r w:rsidRPr="00375458">
        <w:rPr>
          <w:b/>
          <w:bCs/>
          <w:szCs w:val="24"/>
          <w:lang w:val="lv-LV"/>
        </w:rPr>
        <w:t>kopējais attiecināmais finansējums</w:t>
      </w:r>
      <w:r w:rsidRPr="00375458">
        <w:rPr>
          <w:szCs w:val="24"/>
          <w:lang w:val="lv-LV"/>
        </w:rPr>
        <w:t xml:space="preserve"> ir 151 185 240  EUR</w:t>
      </w:r>
      <w:r w:rsidRPr="00375458">
        <w:rPr>
          <w:szCs w:val="24"/>
          <w:shd w:val="clear" w:color="auto" w:fill="FFFFFF"/>
          <w:lang w:val="lv-LV"/>
        </w:rPr>
        <w:t>.</w:t>
      </w:r>
    </w:p>
    <w:p w14:paraId="2AA635E5" w14:textId="1C8B29CB" w:rsidR="00B427F5" w:rsidRPr="005827DC" w:rsidRDefault="00B427F5" w:rsidP="00375458">
      <w:pPr>
        <w:spacing w:after="0" w:line="240" w:lineRule="auto"/>
        <w:jc w:val="both"/>
        <w:rPr>
          <w:rFonts w:eastAsia="Times New Roman" w:cs="Times New Roman"/>
          <w:color w:val="000000"/>
          <w:szCs w:val="24"/>
          <w:lang w:val="lv-LV" w:eastAsia="en-GB" w:bidi="ne-NP"/>
        </w:rPr>
      </w:pPr>
    </w:p>
    <w:p w14:paraId="21CF195B" w14:textId="050680D9" w:rsidR="00B427F5" w:rsidRPr="005827DC" w:rsidRDefault="00B427F5" w:rsidP="00B427F5">
      <w:pPr>
        <w:spacing w:after="0" w:line="240" w:lineRule="auto"/>
        <w:ind w:left="720" w:hanging="360"/>
        <w:jc w:val="both"/>
        <w:rPr>
          <w:rFonts w:eastAsia="Times New Roman" w:cs="Times New Roman"/>
          <w:color w:val="FF0000"/>
          <w:szCs w:val="24"/>
          <w:lang w:val="lv-LV" w:eastAsia="en-GB" w:bidi="ne-NP"/>
        </w:rPr>
      </w:pPr>
    </w:p>
    <w:p w14:paraId="309DC09A" w14:textId="3C75CF25" w:rsidR="00B427F5" w:rsidRPr="005827DC" w:rsidRDefault="00B427F5" w:rsidP="00B427F5">
      <w:pPr>
        <w:pStyle w:val="ListParagraph"/>
        <w:numPr>
          <w:ilvl w:val="0"/>
          <w:numId w:val="1"/>
        </w:numPr>
        <w:spacing w:after="0" w:line="240" w:lineRule="auto"/>
        <w:jc w:val="both"/>
        <w:rPr>
          <w:rFonts w:cs="Times New Roman"/>
          <w:b/>
          <w:bCs/>
          <w:szCs w:val="24"/>
          <w:lang w:val="lv-LV"/>
        </w:rPr>
      </w:pPr>
      <w:r w:rsidRPr="005827DC">
        <w:rPr>
          <w:rFonts w:eastAsia="Times New Roman" w:cs="Times New Roman"/>
          <w:b/>
          <w:bCs/>
          <w:color w:val="000000"/>
          <w:szCs w:val="24"/>
          <w:lang w:val="lv-LV" w:eastAsia="en-GB" w:bidi="ne-NP"/>
        </w:rPr>
        <w:t xml:space="preserve">4.1.2.6.pasākums “Piesaistīt un noturēt ārstniecības personas darbam valsts apmaksāto veselības aprūpes pakalpojumu sektorā, īpaši stacionāros” </w:t>
      </w:r>
    </w:p>
    <w:p w14:paraId="40279552" w14:textId="77777777" w:rsidR="00AF4309" w:rsidRPr="00AF4309" w:rsidRDefault="00AF4309" w:rsidP="00AF4309">
      <w:pPr>
        <w:spacing w:after="0" w:line="240" w:lineRule="auto"/>
        <w:jc w:val="both"/>
        <w:rPr>
          <w:rFonts w:eastAsia="Times New Roman" w:cs="Times New Roman"/>
          <w:color w:val="000000"/>
          <w:szCs w:val="24"/>
          <w:lang w:val="lv-LV" w:eastAsia="en-GB" w:bidi="ne-NP"/>
        </w:rPr>
      </w:pPr>
      <w:r w:rsidRPr="00AF4309">
        <w:rPr>
          <w:rFonts w:eastAsia="Times New Roman" w:cs="Times New Roman"/>
          <w:color w:val="000000"/>
          <w:szCs w:val="24"/>
          <w:lang w:val="lv-LV" w:eastAsia="en-GB" w:bidi="ne-NP"/>
        </w:rPr>
        <w:lastRenderedPageBreak/>
        <w:t>4.1.2.6. pasākuma projekta</w:t>
      </w:r>
      <w:r w:rsidRPr="00AF4309">
        <w:rPr>
          <w:rFonts w:eastAsia="Times New Roman" w:cs="Times New Roman"/>
          <w:b/>
          <w:bCs/>
          <w:color w:val="000000"/>
          <w:szCs w:val="24"/>
          <w:lang w:val="lv-LV" w:eastAsia="en-GB" w:bidi="ne-NP"/>
        </w:rPr>
        <w:t xml:space="preserve"> mērķis</w:t>
      </w:r>
      <w:r w:rsidRPr="00AF4309">
        <w:rPr>
          <w:rFonts w:eastAsia="Times New Roman" w:cs="Times New Roman"/>
          <w:color w:val="000000"/>
          <w:szCs w:val="24"/>
          <w:lang w:val="lv-LV" w:eastAsia="en-GB" w:bidi="ne-NP"/>
        </w:rPr>
        <w:t xml:space="preserve"> ir risināt cilvēkresursu attīstības problēmas veselības jomā un panākt, ka pieaug nodarbināto ārstniecības personu īpatsvars valsts apmaksāto veselības aprūpes pakalpojumu sniegšanai, kā arī notiek līdzsvarota ārstniecības personu paaudžu nomaiņa.</w:t>
      </w:r>
    </w:p>
    <w:p w14:paraId="499838DD" w14:textId="77777777" w:rsidR="00AF4309" w:rsidRPr="00AF4309" w:rsidRDefault="00AF4309" w:rsidP="00AF4309">
      <w:pPr>
        <w:spacing w:after="0" w:line="240" w:lineRule="auto"/>
        <w:jc w:val="both"/>
        <w:rPr>
          <w:rFonts w:eastAsia="Times New Roman" w:cs="Times New Roman"/>
          <w:color w:val="000000"/>
          <w:szCs w:val="24"/>
          <w:lang w:val="lv-LV" w:eastAsia="en-GB" w:bidi="ne-NP"/>
        </w:rPr>
      </w:pPr>
      <w:r w:rsidRPr="00AF4309">
        <w:rPr>
          <w:rFonts w:eastAsia="Times New Roman" w:cs="Times New Roman"/>
          <w:color w:val="000000"/>
          <w:szCs w:val="24"/>
          <w:lang w:val="lv-LV" w:eastAsia="en-GB" w:bidi="ne-NP"/>
        </w:rPr>
        <w:t xml:space="preserve">4.1.2.6. pasākuma projekta </w:t>
      </w:r>
      <w:r w:rsidRPr="00AF4309">
        <w:rPr>
          <w:rFonts w:eastAsia="Times New Roman" w:cs="Times New Roman"/>
          <w:b/>
          <w:bCs/>
          <w:color w:val="000000"/>
          <w:szCs w:val="24"/>
          <w:lang w:val="lv-LV" w:eastAsia="en-GB" w:bidi="ne-NP"/>
        </w:rPr>
        <w:t>stratēģiskā nozīme</w:t>
      </w:r>
      <w:r w:rsidRPr="00AF4309">
        <w:rPr>
          <w:rFonts w:eastAsia="Times New Roman" w:cs="Times New Roman"/>
          <w:color w:val="000000"/>
          <w:szCs w:val="24"/>
          <w:lang w:val="lv-LV" w:eastAsia="en-GB" w:bidi="ne-NP"/>
        </w:rPr>
        <w:t xml:space="preserve"> ir pamatota </w:t>
      </w:r>
      <w:bookmarkStart w:id="1" w:name="_Hlk113977955"/>
      <w:r w:rsidRPr="00AF4309">
        <w:rPr>
          <w:rFonts w:eastAsia="Times New Roman" w:cs="Times New Roman"/>
          <w:color w:val="000000"/>
          <w:szCs w:val="24"/>
          <w:lang w:val="lv-LV" w:eastAsia="en-GB" w:bidi="ne-NP"/>
        </w:rPr>
        <w:t xml:space="preserve">Sabiedrības veselības pamatnostādnēs 2021.–2027.gadam, kā arī informatīvajā ziņojumā “Par veselības aprūpes nodrošināšanas infrastruktūras attīstības investīciju stratēģiju 2021.-2027. gadam” (2022.gada 14.jūlija Ministru kabineta </w:t>
      </w:r>
      <w:proofErr w:type="spellStart"/>
      <w:r w:rsidRPr="00AF4309">
        <w:rPr>
          <w:rFonts w:eastAsia="Times New Roman" w:cs="Times New Roman"/>
          <w:color w:val="000000"/>
          <w:szCs w:val="24"/>
          <w:lang w:val="lv-LV" w:eastAsia="en-GB" w:bidi="ne-NP"/>
        </w:rPr>
        <w:t>protokollēmums</w:t>
      </w:r>
      <w:proofErr w:type="spellEnd"/>
      <w:r w:rsidRPr="00AF4309">
        <w:rPr>
          <w:rFonts w:eastAsia="Times New Roman" w:cs="Times New Roman"/>
          <w:color w:val="000000"/>
          <w:szCs w:val="24"/>
          <w:lang w:val="lv-LV" w:eastAsia="en-GB" w:bidi="ne-NP"/>
        </w:rPr>
        <w:t xml:space="preserve"> Nr.36/105.§ (22-TA-1198))</w:t>
      </w:r>
      <w:bookmarkEnd w:id="1"/>
      <w:r w:rsidRPr="00AF4309">
        <w:rPr>
          <w:rFonts w:eastAsia="Times New Roman" w:cs="Times New Roman"/>
          <w:color w:val="000000"/>
          <w:szCs w:val="24"/>
          <w:lang w:val="lv-LV" w:eastAsia="en-GB" w:bidi="ne-NP"/>
        </w:rPr>
        <w:t xml:space="preserve">, kur cita starpā atspoguļoti rīcības virzieni cilvēkresursu plānošanai, izglītošanai, piesaistei un noturēšanai veselības aprūpes darba tirgū.  </w:t>
      </w:r>
    </w:p>
    <w:p w14:paraId="6FCA5A76" w14:textId="77777777" w:rsidR="00AF4309" w:rsidRPr="00AF4309" w:rsidRDefault="00AF4309" w:rsidP="00AF4309">
      <w:pPr>
        <w:spacing w:after="0" w:line="240" w:lineRule="auto"/>
        <w:jc w:val="both"/>
        <w:rPr>
          <w:rFonts w:eastAsia="Times New Roman" w:cs="Times New Roman"/>
          <w:color w:val="000000"/>
          <w:szCs w:val="24"/>
          <w:lang w:val="lv-LV" w:eastAsia="en-GB" w:bidi="ne-NP"/>
        </w:rPr>
      </w:pPr>
      <w:r w:rsidRPr="00AF4309">
        <w:rPr>
          <w:rFonts w:eastAsia="Times New Roman" w:cs="Times New Roman"/>
          <w:color w:val="000000"/>
          <w:szCs w:val="24"/>
          <w:lang w:val="lv-LV" w:eastAsia="en-GB" w:bidi="ne-NP"/>
        </w:rPr>
        <w:t xml:space="preserve">Latvijas veselības aprūpes sistēma ilgstoši saskaras ar nepietiekamu cilvēkresursu nodrošinājumu, ko raksturo novecojoša vecuma struktūra un nevienmērīgs reģionālais izvietojums. Ja Latvijā praktizējošo ārstu skaits ir tuvs OECD valstu vidējam rādītājam (Latvijā - 3,3 uz 100 000 iedzīvotājiem, OECD vidēji - 3,6), tad praktizējošo māsu skaits ir kritiski zems – tikai 4.4 uz 1 000 iedzīvotājiem (OECD- 8,8).  Kopumā veselības aprūpes sistēmā personāla trūkums ir visās ārstniecības personu profesijās (ārstu palīgi, vecmātes, atsevišķu specialitāšu ārsti, īpaši ģimenes ārsti u.c.), kas ierobežo veselības aprūpes pakalpojumu pieejamību iedzīvotājiem un apdraud veselības aprūpes reformu sekmīgumu. </w:t>
      </w:r>
    </w:p>
    <w:p w14:paraId="40FD5B73" w14:textId="77777777" w:rsidR="00AF4309" w:rsidRPr="00AF4309" w:rsidRDefault="00AF4309" w:rsidP="00AF4309">
      <w:pPr>
        <w:spacing w:after="0" w:line="240" w:lineRule="auto"/>
        <w:jc w:val="both"/>
        <w:rPr>
          <w:rFonts w:eastAsia="Times New Roman" w:cs="Times New Roman"/>
          <w:color w:val="000000"/>
          <w:szCs w:val="24"/>
          <w:lang w:val="lv-LV" w:eastAsia="en-GB" w:bidi="ne-NP"/>
        </w:rPr>
      </w:pPr>
      <w:r w:rsidRPr="00AF4309">
        <w:rPr>
          <w:rFonts w:eastAsia="Times New Roman" w:cs="Times New Roman"/>
          <w:color w:val="000000"/>
          <w:szCs w:val="24"/>
          <w:lang w:val="lv-LV" w:eastAsia="en-GB" w:bidi="ne-NP"/>
        </w:rPr>
        <w:t>Lai risinātu cilvēkresursu nodrošinājuma problēmas veselības jomā,</w:t>
      </w:r>
      <w:r w:rsidRPr="00AF4309">
        <w:rPr>
          <w:lang w:val="lv-LV"/>
        </w:rPr>
        <w:t xml:space="preserve"> </w:t>
      </w:r>
      <w:r w:rsidRPr="00AF4309">
        <w:rPr>
          <w:rFonts w:eastAsia="Times New Roman" w:cs="Times New Roman"/>
          <w:color w:val="000000"/>
          <w:szCs w:val="24"/>
          <w:lang w:val="lv-LV" w:eastAsia="en-GB" w:bidi="ne-NP"/>
        </w:rPr>
        <w:t xml:space="preserve">kā arī mazinātu sabiedrības veselības krīžu izraisītās sekas, 4.1.2.6 pasākuma projekta ietvaros, tiks sniegts atbalsts ārstniecības personām par profesionālās darbības uzsākšanu vai atsākšanu valsts apmaksāto veselības aprūpes pakalpojumu sniegšanā. </w:t>
      </w:r>
    </w:p>
    <w:p w14:paraId="52AA2AE9" w14:textId="77777777" w:rsidR="00AF4309" w:rsidRPr="00AF4309" w:rsidRDefault="00AF4309" w:rsidP="00AF4309">
      <w:pPr>
        <w:spacing w:after="0" w:line="240" w:lineRule="auto"/>
        <w:jc w:val="both"/>
        <w:rPr>
          <w:rFonts w:eastAsia="Times New Roman" w:cs="Times New Roman"/>
          <w:color w:val="000000"/>
          <w:szCs w:val="24"/>
          <w:lang w:val="lv-LV" w:eastAsia="en-GB" w:bidi="ne-NP"/>
        </w:rPr>
      </w:pPr>
      <w:r w:rsidRPr="00AF4309">
        <w:rPr>
          <w:rFonts w:eastAsia="Times New Roman" w:cs="Times New Roman"/>
          <w:color w:val="000000"/>
          <w:szCs w:val="24"/>
          <w:lang w:val="lv-LV" w:eastAsia="en-GB" w:bidi="ne-NP"/>
        </w:rPr>
        <w:t xml:space="preserve">Rezultātā tiks uzlabota pieejamība nepieciešamajām ārstniecības personām, jo īpaši reģionos un īpaši atbalstāmajās veselības nozares jomās un profesijās. </w:t>
      </w:r>
    </w:p>
    <w:p w14:paraId="653D0834" w14:textId="2EBC4252" w:rsidR="00AF4309" w:rsidRPr="00AF4309" w:rsidRDefault="00AF4309" w:rsidP="00AF4309">
      <w:pPr>
        <w:spacing w:after="0" w:line="240" w:lineRule="auto"/>
        <w:jc w:val="both"/>
        <w:rPr>
          <w:rFonts w:eastAsia="Times New Roman" w:cs="Times New Roman"/>
          <w:color w:val="000000"/>
          <w:szCs w:val="24"/>
          <w:lang w:val="lv-LV" w:eastAsia="en-GB" w:bidi="ne-NP"/>
        </w:rPr>
      </w:pPr>
      <w:r w:rsidRPr="00AF4309">
        <w:rPr>
          <w:szCs w:val="24"/>
          <w:lang w:val="lv-LV"/>
        </w:rPr>
        <w:t xml:space="preserve">4.1.2.6. pasākuma ietvaros plānotais </w:t>
      </w:r>
      <w:r w:rsidRPr="00AF4309">
        <w:rPr>
          <w:b/>
          <w:bCs/>
          <w:szCs w:val="24"/>
          <w:lang w:val="lv-LV"/>
        </w:rPr>
        <w:t>kopējais attiecināmais finansējums</w:t>
      </w:r>
      <w:r w:rsidRPr="00AF4309">
        <w:rPr>
          <w:szCs w:val="24"/>
          <w:lang w:val="lv-LV"/>
        </w:rPr>
        <w:t xml:space="preserve"> ir 6 690 300 </w:t>
      </w:r>
      <w:r>
        <w:rPr>
          <w:szCs w:val="24"/>
          <w:lang w:val="lv-LV"/>
        </w:rPr>
        <w:t>EUR</w:t>
      </w:r>
      <w:r w:rsidRPr="00AF4309">
        <w:rPr>
          <w:szCs w:val="24"/>
          <w:shd w:val="clear" w:color="auto" w:fill="FFFFFF"/>
          <w:lang w:val="lv-LV"/>
        </w:rPr>
        <w:t>.</w:t>
      </w:r>
    </w:p>
    <w:p w14:paraId="0E989E81" w14:textId="1AE7CD84" w:rsidR="00B427F5" w:rsidRPr="005827DC" w:rsidRDefault="00B427F5" w:rsidP="00AF4309">
      <w:pPr>
        <w:spacing w:after="0" w:line="240" w:lineRule="auto"/>
        <w:jc w:val="both"/>
        <w:rPr>
          <w:rFonts w:cs="Times New Roman"/>
          <w:szCs w:val="24"/>
          <w:lang w:val="lv-LV"/>
        </w:rPr>
      </w:pPr>
    </w:p>
    <w:p w14:paraId="49C3FE65" w14:textId="77777777" w:rsidR="00B427F5" w:rsidRPr="005827DC" w:rsidRDefault="00B427F5" w:rsidP="00B427F5">
      <w:pPr>
        <w:spacing w:after="0" w:line="240" w:lineRule="auto"/>
        <w:ind w:left="720" w:hanging="360"/>
        <w:jc w:val="both"/>
        <w:rPr>
          <w:rFonts w:cs="Times New Roman"/>
          <w:szCs w:val="24"/>
          <w:lang w:val="lv-LV"/>
        </w:rPr>
      </w:pPr>
    </w:p>
    <w:p w14:paraId="2EF29D00" w14:textId="635EA44C" w:rsidR="00B427F5" w:rsidRPr="005827DC" w:rsidRDefault="00B427F5" w:rsidP="00B427F5">
      <w:pPr>
        <w:pStyle w:val="ListParagraph"/>
        <w:numPr>
          <w:ilvl w:val="0"/>
          <w:numId w:val="1"/>
        </w:numPr>
        <w:spacing w:after="0" w:line="240" w:lineRule="auto"/>
        <w:jc w:val="both"/>
        <w:rPr>
          <w:rFonts w:cs="Times New Roman"/>
          <w:b/>
          <w:bCs/>
          <w:szCs w:val="24"/>
          <w:lang w:val="lv-LV"/>
        </w:rPr>
      </w:pPr>
      <w:r w:rsidRPr="005827DC">
        <w:rPr>
          <w:rFonts w:eastAsia="Times New Roman" w:cs="Times New Roman"/>
          <w:b/>
          <w:bCs/>
          <w:color w:val="000000"/>
          <w:szCs w:val="24"/>
          <w:lang w:val="lv-LV" w:eastAsia="en-GB" w:bidi="ne-NP"/>
        </w:rPr>
        <w:t xml:space="preserve">4.2.3.1.pasākums “Integrēta “skola-kopiena” sadarbības programma atstumtības riska mazināšanai izglītības iestādēs” </w:t>
      </w:r>
    </w:p>
    <w:p w14:paraId="746691EC" w14:textId="77777777" w:rsidR="00A41772" w:rsidRPr="00A41772" w:rsidRDefault="00A41772" w:rsidP="00A41772">
      <w:pPr>
        <w:spacing w:after="0" w:line="240" w:lineRule="auto"/>
        <w:jc w:val="both"/>
        <w:rPr>
          <w:rFonts w:cs="Times New Roman"/>
          <w:color w:val="000000" w:themeColor="text1"/>
          <w:szCs w:val="24"/>
          <w:lang w:val="lv"/>
        </w:rPr>
      </w:pPr>
      <w:r w:rsidRPr="00A41772">
        <w:rPr>
          <w:rFonts w:cs="Times New Roman"/>
          <w:color w:val="000000" w:themeColor="text1"/>
          <w:szCs w:val="24"/>
          <w:lang w:val="lv"/>
        </w:rPr>
        <w:t xml:space="preserve">4.2.3.1.pasākuma ietvaros </w:t>
      </w:r>
      <w:r w:rsidRPr="00A41772">
        <w:rPr>
          <w:rFonts w:cs="Times New Roman"/>
          <w:b/>
          <w:bCs/>
          <w:color w:val="000000" w:themeColor="text1"/>
          <w:szCs w:val="24"/>
          <w:lang w:val="lv"/>
        </w:rPr>
        <w:t>atbalsts plānots</w:t>
      </w:r>
      <w:r w:rsidRPr="00A41772">
        <w:rPr>
          <w:rFonts w:cs="Times New Roman"/>
          <w:color w:val="000000" w:themeColor="text1"/>
          <w:szCs w:val="24"/>
          <w:lang w:val="lv"/>
        </w:rPr>
        <w:t xml:space="preserve"> starpinstitūciju sadarbības un koordinācijas veicināšanai, lai:</w:t>
      </w:r>
    </w:p>
    <w:p w14:paraId="1DF8F210" w14:textId="6E763673" w:rsidR="00A41772" w:rsidRPr="00A41772" w:rsidRDefault="00A41772" w:rsidP="00A41772">
      <w:pPr>
        <w:pStyle w:val="ListParagraph"/>
        <w:numPr>
          <w:ilvl w:val="0"/>
          <w:numId w:val="5"/>
        </w:numPr>
        <w:spacing w:after="0" w:line="240" w:lineRule="auto"/>
        <w:jc w:val="both"/>
        <w:rPr>
          <w:rFonts w:cs="Times New Roman"/>
          <w:color w:val="000000" w:themeColor="text1"/>
          <w:szCs w:val="24"/>
          <w:lang w:val="lv"/>
        </w:rPr>
      </w:pPr>
      <w:r w:rsidRPr="00A41772">
        <w:rPr>
          <w:rFonts w:cs="Times New Roman"/>
          <w:color w:val="000000" w:themeColor="text1"/>
          <w:szCs w:val="24"/>
          <w:lang w:val="lv"/>
        </w:rPr>
        <w:t xml:space="preserve">sniegtu individuālu atbalstu izglītojamo mācīšanās atbalstam (priekšlaicīgas mācību pārtraukšanas riskam pakļautiem izglītojamiem, speciālām vajadzībām, mācīšanās grūtībām, sociāli ekonomiskiem riskiem pakļautiem bērniem, </w:t>
      </w:r>
      <w:proofErr w:type="spellStart"/>
      <w:r w:rsidRPr="00A41772">
        <w:rPr>
          <w:rFonts w:cs="Times New Roman"/>
          <w:color w:val="000000" w:themeColor="text1"/>
          <w:szCs w:val="24"/>
          <w:lang w:val="lv"/>
        </w:rPr>
        <w:t>pāridarīšanai</w:t>
      </w:r>
      <w:proofErr w:type="spellEnd"/>
      <w:r w:rsidRPr="00A41772">
        <w:rPr>
          <w:rFonts w:cs="Times New Roman"/>
          <w:color w:val="000000" w:themeColor="text1"/>
          <w:szCs w:val="24"/>
          <w:lang w:val="lv"/>
        </w:rPr>
        <w:t xml:space="preserve"> pakļautiem bērniem u.c.), t.sk. atbalstu priekšlaicīgas mācību pārtraukšanas risku novērtēšanai un vadībai, </w:t>
      </w:r>
    </w:p>
    <w:p w14:paraId="726B15DE" w14:textId="0A57EDD4" w:rsidR="00A41772" w:rsidRPr="00A41772" w:rsidRDefault="00A41772" w:rsidP="00A41772">
      <w:pPr>
        <w:pStyle w:val="ListParagraph"/>
        <w:numPr>
          <w:ilvl w:val="0"/>
          <w:numId w:val="5"/>
        </w:numPr>
        <w:spacing w:after="0" w:line="240" w:lineRule="auto"/>
        <w:jc w:val="both"/>
        <w:rPr>
          <w:rFonts w:cs="Times New Roman"/>
          <w:color w:val="000000" w:themeColor="text1"/>
          <w:szCs w:val="24"/>
          <w:lang w:val="lv"/>
        </w:rPr>
      </w:pPr>
      <w:r w:rsidRPr="00A41772">
        <w:rPr>
          <w:rFonts w:cs="Times New Roman"/>
          <w:color w:val="000000" w:themeColor="text1"/>
          <w:szCs w:val="24"/>
          <w:lang w:val="lv"/>
        </w:rPr>
        <w:t xml:space="preserve">nodrošinātu efektīvu darbu ar </w:t>
      </w:r>
      <w:proofErr w:type="spellStart"/>
      <w:r w:rsidRPr="00A41772">
        <w:rPr>
          <w:rFonts w:cs="Times New Roman"/>
          <w:color w:val="000000" w:themeColor="text1"/>
          <w:szCs w:val="24"/>
          <w:lang w:val="lv"/>
        </w:rPr>
        <w:t>reemigrējušiem</w:t>
      </w:r>
      <w:proofErr w:type="spellEnd"/>
      <w:r w:rsidRPr="00A41772">
        <w:rPr>
          <w:rFonts w:cs="Times New Roman"/>
          <w:color w:val="000000" w:themeColor="text1"/>
          <w:szCs w:val="24"/>
          <w:lang w:val="lv"/>
        </w:rPr>
        <w:t xml:space="preserve"> un imigrantu bērniem, kā arī mazākumtautībām, aktīvi iesaistot vecākus, ģimenes, citus sabiedrības locekļus, </w:t>
      </w:r>
    </w:p>
    <w:p w14:paraId="1132DF7C" w14:textId="0CCB0964" w:rsidR="00A41772" w:rsidRPr="00A41772" w:rsidRDefault="00A41772" w:rsidP="00A41772">
      <w:pPr>
        <w:pStyle w:val="ListParagraph"/>
        <w:numPr>
          <w:ilvl w:val="0"/>
          <w:numId w:val="5"/>
        </w:numPr>
        <w:spacing w:after="0" w:line="240" w:lineRule="auto"/>
        <w:jc w:val="both"/>
        <w:rPr>
          <w:rFonts w:eastAsia="Times New Roman" w:cs="Times New Roman"/>
          <w:color w:val="000000" w:themeColor="text1"/>
          <w:szCs w:val="24"/>
          <w:lang w:val="lv"/>
        </w:rPr>
      </w:pPr>
      <w:r w:rsidRPr="00A41772">
        <w:rPr>
          <w:rFonts w:cs="Times New Roman"/>
          <w:color w:val="000000" w:themeColor="text1"/>
          <w:szCs w:val="24"/>
          <w:lang w:val="lv"/>
        </w:rPr>
        <w:t xml:space="preserve">nodrošinātu ārpus formālo izglītību (t.sk. interešu izglītību) izglītības iestādē. Atbalsts sniegs ieguldījumu priekšlaicīgas mācību pārtraukšanas riska mazināšanai, </w:t>
      </w:r>
      <w:r w:rsidRPr="00A41772">
        <w:rPr>
          <w:rFonts w:eastAsia="Times New Roman" w:cs="Times New Roman"/>
          <w:color w:val="000000" w:themeColor="text1"/>
          <w:szCs w:val="24"/>
          <w:lang w:val="lv"/>
        </w:rPr>
        <w:t>sekmējot bērnu un jauniešu līdzdalību izglītībā un mazinot nabadzības un sociālās atstumtības risku nākotnē.</w:t>
      </w:r>
    </w:p>
    <w:p w14:paraId="67B45902" w14:textId="77777777" w:rsidR="00A41772" w:rsidRPr="00A41772" w:rsidRDefault="00A41772" w:rsidP="00A41772">
      <w:pPr>
        <w:spacing w:after="0" w:line="240" w:lineRule="auto"/>
        <w:jc w:val="both"/>
        <w:rPr>
          <w:rFonts w:eastAsia="Times New Roman" w:cs="Times New Roman"/>
          <w:color w:val="000000" w:themeColor="text1"/>
          <w:szCs w:val="24"/>
          <w:lang w:val="lv"/>
        </w:rPr>
      </w:pPr>
      <w:r w:rsidRPr="00A41772">
        <w:rPr>
          <w:rFonts w:cs="Times New Roman"/>
          <w:color w:val="000000" w:themeColor="text1"/>
          <w:szCs w:val="24"/>
          <w:lang w:val="lv-LV"/>
        </w:rPr>
        <w:t xml:space="preserve">4.2.3.1.pasākuma </w:t>
      </w:r>
      <w:r w:rsidRPr="00A41772">
        <w:rPr>
          <w:rFonts w:cs="Times New Roman"/>
          <w:b/>
          <w:bCs/>
          <w:color w:val="000000" w:themeColor="text1"/>
          <w:szCs w:val="24"/>
          <w:lang w:val="lv-LV"/>
        </w:rPr>
        <w:t>stratēģiskā nozīme</w:t>
      </w:r>
      <w:r w:rsidRPr="00A41772">
        <w:rPr>
          <w:rFonts w:cs="Times New Roman"/>
          <w:color w:val="000000" w:themeColor="text1"/>
          <w:szCs w:val="24"/>
          <w:lang w:val="lv-LV"/>
        </w:rPr>
        <w:t xml:space="preserve"> ir pamatota Izglītības attīstības pamatnostādnēs 2021.-2027.gadam, kas ir vidēja termiņa politikas plānošanas dokuments, kas nosaka vienotu valsts politiku un attīstības stratēģiju izglītībā. Pamatnostādņu 3.2.rīcības virziena ” Sadarbība ar vietējo kopienu un dalīta atbildība izglītības mērķu sasniegšanai” 3.2.2.uzdevums “Stiprināt kopienas mēroga sadarbību (pašvaldības ietvaros)  indivīda izaugsmei” paredz  veicināt pašvaldību un izglītības iestāžu koordinētu starpinstitūciju sadarbību un sadarbību ar vietējo kopienu sociālās atstumtības riska mazināšanā un vienlīdzīgas piekļuves kvalitatīvai un iekļaujošai izglītībai nodrošināšanā.</w:t>
      </w:r>
    </w:p>
    <w:p w14:paraId="0CC78E14" w14:textId="77777777" w:rsidR="00A41772" w:rsidRPr="00A41772" w:rsidRDefault="00A41772" w:rsidP="00A41772">
      <w:pPr>
        <w:spacing w:after="0" w:line="240" w:lineRule="auto"/>
        <w:jc w:val="both"/>
        <w:rPr>
          <w:rFonts w:cs="Times New Roman"/>
          <w:color w:val="000000" w:themeColor="text1"/>
          <w:szCs w:val="24"/>
          <w:lang w:val="lv"/>
        </w:rPr>
      </w:pPr>
      <w:r w:rsidRPr="00A41772">
        <w:rPr>
          <w:rFonts w:cs="Times New Roman"/>
          <w:color w:val="000000" w:themeColor="text1"/>
          <w:szCs w:val="24"/>
          <w:lang w:val="lv"/>
        </w:rPr>
        <w:t>Tāpat pasākuma īstenošana sniegs ieguldījumu IAP 2021-2027 definētā izglītības politikas rezultāta «Ikvienam pieejams atbalsts izaugsmei» rādītāja 2027.gadam sasniegšanai: jaunieši (18-24 gadus veci), kas neturpina izglītību - koprādītājs: 5%; rādītājs grupā ar lielāko jauniešu proporciju, kas neturpina izglītību (vīrieši, kas dzīvo laukos):10%.</w:t>
      </w:r>
    </w:p>
    <w:p w14:paraId="5EA23B67" w14:textId="75348E2F" w:rsidR="00A41772" w:rsidRPr="00A41772" w:rsidRDefault="00A41772" w:rsidP="00A41772">
      <w:pPr>
        <w:spacing w:after="0" w:line="240" w:lineRule="auto"/>
        <w:jc w:val="both"/>
        <w:rPr>
          <w:rFonts w:cs="Times New Roman"/>
          <w:color w:val="FF0000"/>
          <w:szCs w:val="24"/>
          <w:lang w:val="lv"/>
        </w:rPr>
      </w:pPr>
      <w:r w:rsidRPr="00A41772">
        <w:rPr>
          <w:rFonts w:cs="Times New Roman"/>
          <w:bCs/>
          <w:szCs w:val="24"/>
          <w:lang w:val="lv-LV"/>
        </w:rPr>
        <w:t xml:space="preserve">4.2.3.1. pasākumam indikatīvi plānotais </w:t>
      </w:r>
      <w:r w:rsidRPr="00A41772">
        <w:rPr>
          <w:rFonts w:cs="Times New Roman"/>
          <w:b/>
          <w:szCs w:val="24"/>
          <w:lang w:val="lv-LV"/>
        </w:rPr>
        <w:t>kopējais attiecināmais finansējums</w:t>
      </w:r>
      <w:r w:rsidRPr="00A41772">
        <w:rPr>
          <w:rFonts w:cs="Times New Roman"/>
          <w:bCs/>
          <w:szCs w:val="24"/>
          <w:lang w:val="lv-LV"/>
        </w:rPr>
        <w:t xml:space="preserve"> ir</w:t>
      </w:r>
      <w:r w:rsidRPr="00A41772">
        <w:rPr>
          <w:lang w:val="lv"/>
        </w:rPr>
        <w:t xml:space="preserve"> 23 490 000 EUR</w:t>
      </w:r>
      <w:r w:rsidRPr="00A41772">
        <w:rPr>
          <w:rFonts w:cs="Times New Roman"/>
          <w:bCs/>
          <w:szCs w:val="24"/>
          <w:lang w:val="lv-LV"/>
        </w:rPr>
        <w:t>.</w:t>
      </w:r>
    </w:p>
    <w:p w14:paraId="40D1D32C" w14:textId="0EBB8797" w:rsidR="00B427F5" w:rsidRPr="00A41772" w:rsidRDefault="00B427F5" w:rsidP="00760EA9">
      <w:pPr>
        <w:spacing w:after="0" w:line="240" w:lineRule="auto"/>
        <w:ind w:left="720" w:hanging="360"/>
        <w:jc w:val="both"/>
        <w:rPr>
          <w:rFonts w:cs="Times New Roman"/>
          <w:color w:val="FF0000"/>
          <w:szCs w:val="24"/>
          <w:lang w:val="lv-LV"/>
        </w:rPr>
      </w:pPr>
    </w:p>
    <w:p w14:paraId="4DB16212" w14:textId="77777777" w:rsidR="00B427F5" w:rsidRPr="005827DC" w:rsidRDefault="00B427F5" w:rsidP="00B427F5">
      <w:pPr>
        <w:spacing w:after="0" w:line="240" w:lineRule="auto"/>
        <w:ind w:left="720" w:hanging="360"/>
        <w:jc w:val="both"/>
        <w:rPr>
          <w:rFonts w:cs="Times New Roman"/>
          <w:szCs w:val="24"/>
          <w:lang w:val="lv-LV"/>
        </w:rPr>
      </w:pPr>
    </w:p>
    <w:p w14:paraId="2C7DE6A9" w14:textId="6A65924C" w:rsidR="00B427F5" w:rsidRPr="005827DC" w:rsidRDefault="00B427F5" w:rsidP="00B427F5">
      <w:pPr>
        <w:pStyle w:val="ListParagraph"/>
        <w:numPr>
          <w:ilvl w:val="0"/>
          <w:numId w:val="1"/>
        </w:numPr>
        <w:spacing w:after="0" w:line="240" w:lineRule="auto"/>
        <w:jc w:val="both"/>
        <w:rPr>
          <w:rFonts w:cs="Times New Roman"/>
          <w:b/>
          <w:bCs/>
          <w:szCs w:val="24"/>
          <w:lang w:val="lv-LV"/>
        </w:rPr>
      </w:pPr>
      <w:r w:rsidRPr="003B0DED">
        <w:rPr>
          <w:rFonts w:eastAsia="Times New Roman" w:cs="Times New Roman"/>
          <w:b/>
          <w:bCs/>
          <w:color w:val="000000"/>
          <w:szCs w:val="24"/>
          <w:lang w:val="lv-LV" w:eastAsia="en-GB" w:bidi="ne-NP"/>
        </w:rPr>
        <w:t>4</w:t>
      </w:r>
      <w:r w:rsidRPr="005827DC">
        <w:rPr>
          <w:rFonts w:eastAsia="Times New Roman" w:cs="Times New Roman"/>
          <w:b/>
          <w:bCs/>
          <w:color w:val="000000"/>
          <w:szCs w:val="24"/>
          <w:lang w:val="lv-LV" w:eastAsia="en-GB" w:bidi="ne-NP"/>
        </w:rPr>
        <w:t xml:space="preserve">.2.4.2.pasākums “Atbalsts pieaugušo individuālajās vajadzībās balstītai pieaugušo izglītībai” </w:t>
      </w:r>
    </w:p>
    <w:p w14:paraId="2A3C5CD0" w14:textId="77777777" w:rsidR="00A41772" w:rsidRPr="00760EA9" w:rsidRDefault="00A41772" w:rsidP="00A41772">
      <w:pPr>
        <w:spacing w:after="0" w:line="240" w:lineRule="auto"/>
        <w:jc w:val="both"/>
        <w:rPr>
          <w:rFonts w:eastAsia="Arial" w:cs="Times New Roman"/>
          <w:color w:val="000000" w:themeColor="text1"/>
          <w:szCs w:val="24"/>
          <w:lang w:val="lv-LV"/>
        </w:rPr>
      </w:pPr>
      <w:r w:rsidRPr="00760EA9">
        <w:rPr>
          <w:rFonts w:cs="Times New Roman"/>
          <w:color w:val="000000" w:themeColor="text1"/>
          <w:szCs w:val="24"/>
          <w:lang w:val="lv-LV"/>
        </w:rPr>
        <w:t xml:space="preserve">4.2.4.2.pasākuma ievaros </w:t>
      </w:r>
      <w:r w:rsidRPr="00A41772">
        <w:rPr>
          <w:rFonts w:cs="Times New Roman"/>
          <w:b/>
          <w:bCs/>
          <w:color w:val="000000" w:themeColor="text1"/>
          <w:szCs w:val="24"/>
          <w:lang w:val="lv-LV"/>
        </w:rPr>
        <w:t>plānots</w:t>
      </w:r>
      <w:r w:rsidRPr="00A41772">
        <w:rPr>
          <w:rFonts w:eastAsia="Calibri" w:cs="Times New Roman"/>
          <w:b/>
          <w:bCs/>
          <w:color w:val="000000" w:themeColor="text1"/>
          <w:szCs w:val="24"/>
          <w:lang w:val="lv-LV"/>
        </w:rPr>
        <w:t xml:space="preserve"> atbalsts</w:t>
      </w:r>
      <w:r w:rsidRPr="00760EA9">
        <w:rPr>
          <w:rFonts w:eastAsia="Calibri" w:cs="Times New Roman"/>
          <w:color w:val="000000" w:themeColor="text1"/>
          <w:szCs w:val="24"/>
          <w:lang w:val="lv-LV"/>
        </w:rPr>
        <w:t xml:space="preserve"> pieaugušajiem nepieciešamo zināšanu un prasmju apguvei, tostarp individuālo mācību vajadzību noteikšanai un personu profilēšanai, kā arī mācību šķēršļu </w:t>
      </w:r>
      <w:r w:rsidRPr="00760EA9">
        <w:rPr>
          <w:rFonts w:eastAsia="Calibri" w:cs="Times New Roman"/>
          <w:color w:val="000000" w:themeColor="text1"/>
          <w:szCs w:val="24"/>
          <w:lang w:val="lv-LV"/>
        </w:rPr>
        <w:lastRenderedPageBreak/>
        <w:t>pārvarēšanai. Atbalsts paredzēts arī elastīga mācību piedāvājuma attīstībai, pieaugušo izpratnes un motivācijas veicināšanai par mācīšanos,</w:t>
      </w:r>
      <w:r w:rsidRPr="00760EA9">
        <w:rPr>
          <w:rFonts w:eastAsia="Arial" w:cs="Times New Roman"/>
          <w:color w:val="000000" w:themeColor="text1"/>
          <w:szCs w:val="24"/>
          <w:lang w:val="lv-LV"/>
        </w:rPr>
        <w:t xml:space="preserve"> kā ar nodarbināto testēšanai un sertifikācijai.</w:t>
      </w:r>
    </w:p>
    <w:p w14:paraId="68C169E8" w14:textId="77777777" w:rsidR="00A41772" w:rsidRPr="00760EA9" w:rsidRDefault="00A41772" w:rsidP="00A41772">
      <w:pPr>
        <w:spacing w:after="0" w:line="240" w:lineRule="auto"/>
        <w:jc w:val="both"/>
        <w:rPr>
          <w:rFonts w:cs="Times New Roman"/>
          <w:color w:val="000000" w:themeColor="text1"/>
          <w:szCs w:val="24"/>
          <w:lang w:val="lv-LV"/>
        </w:rPr>
      </w:pPr>
      <w:r w:rsidRPr="00760EA9">
        <w:rPr>
          <w:rFonts w:cs="Times New Roman"/>
          <w:color w:val="000000" w:themeColor="text1"/>
          <w:szCs w:val="24"/>
          <w:lang w:val="lv-LV"/>
        </w:rPr>
        <w:t xml:space="preserve">Līdzfinansētais pasākuma projekts sniegs ieguldījumu ilgtspējīgas pieaugušo izglītības sistēmas attīstībai un nodrošinās kvalitatīvu un pieejamu pieaugušo izglītības piedāvājumu. Plānotie ieguldījumi </w:t>
      </w:r>
      <w:r w:rsidRPr="00A41772">
        <w:rPr>
          <w:rFonts w:cs="Times New Roman"/>
          <w:color w:val="000000" w:themeColor="text1"/>
          <w:szCs w:val="24"/>
          <w:lang w:val="lv-LV"/>
        </w:rPr>
        <w:t>veicinās mūžizglītību</w:t>
      </w:r>
      <w:r w:rsidRPr="00760EA9">
        <w:rPr>
          <w:rFonts w:cs="Times New Roman"/>
          <w:color w:val="000000" w:themeColor="text1"/>
          <w:szCs w:val="24"/>
          <w:lang w:val="lv-LV"/>
        </w:rPr>
        <w:t>, jo īpaši paredzot elastīgas kvalifikācijas paaugstināšanas un pārkvalificēšanās iespējas visiem, ņemot vērā digitālās prasmes, labāk paredzot pārmaiņas un jaunas prasības pēc prasmēm, kas balstītas  uz darba tirgus attīstības tendencēm un vajadzībām, atvieglojot karjeras maiņu un veicinot profesionālo mobilitāti.</w:t>
      </w:r>
    </w:p>
    <w:p w14:paraId="5F08DB05" w14:textId="77777777" w:rsidR="00A41772" w:rsidRPr="00760EA9" w:rsidRDefault="00A41772" w:rsidP="00A41772">
      <w:pPr>
        <w:spacing w:after="0" w:line="240" w:lineRule="auto"/>
        <w:jc w:val="both"/>
        <w:rPr>
          <w:rFonts w:cs="Times New Roman"/>
          <w:color w:val="000000" w:themeColor="text1"/>
          <w:szCs w:val="24"/>
          <w:lang w:val="lv-LV"/>
        </w:rPr>
      </w:pPr>
      <w:r>
        <w:rPr>
          <w:rFonts w:cs="Times New Roman"/>
          <w:color w:val="000000" w:themeColor="text1"/>
          <w:szCs w:val="24"/>
          <w:lang w:val="lv-LV"/>
        </w:rPr>
        <w:t xml:space="preserve">4.2.4.2.pasākuma </w:t>
      </w:r>
      <w:r w:rsidRPr="00A41772">
        <w:rPr>
          <w:rFonts w:cs="Times New Roman"/>
          <w:b/>
          <w:bCs/>
          <w:color w:val="000000" w:themeColor="text1"/>
          <w:szCs w:val="24"/>
          <w:lang w:val="lv-LV"/>
        </w:rPr>
        <w:t>stratēģiskā nozīme</w:t>
      </w:r>
      <w:r w:rsidRPr="005E33EA">
        <w:rPr>
          <w:rFonts w:cs="Times New Roman"/>
          <w:color w:val="000000" w:themeColor="text1"/>
          <w:szCs w:val="24"/>
          <w:lang w:val="lv-LV"/>
        </w:rPr>
        <w:t xml:space="preserve"> ir pamatota </w:t>
      </w:r>
      <w:r>
        <w:rPr>
          <w:rFonts w:cs="Times New Roman"/>
          <w:color w:val="000000" w:themeColor="text1"/>
          <w:szCs w:val="24"/>
          <w:lang w:val="lv-LV"/>
        </w:rPr>
        <w:t>I</w:t>
      </w:r>
      <w:r w:rsidRPr="005E33EA">
        <w:rPr>
          <w:rFonts w:cs="Times New Roman"/>
          <w:color w:val="000000" w:themeColor="text1"/>
          <w:szCs w:val="24"/>
          <w:lang w:val="lv-LV"/>
        </w:rPr>
        <w:t>zglītības attīstības pamatnostādnē</w:t>
      </w:r>
      <w:r>
        <w:rPr>
          <w:rFonts w:cs="Times New Roman"/>
          <w:color w:val="000000" w:themeColor="text1"/>
          <w:szCs w:val="24"/>
          <w:lang w:val="lv-LV"/>
        </w:rPr>
        <w:t>s</w:t>
      </w:r>
      <w:r w:rsidRPr="005E33EA">
        <w:rPr>
          <w:rFonts w:cs="Times New Roman"/>
          <w:color w:val="000000" w:themeColor="text1"/>
          <w:szCs w:val="24"/>
          <w:lang w:val="lv-LV"/>
        </w:rPr>
        <w:t xml:space="preserve"> 2021.-2027. gadam</w:t>
      </w:r>
      <w:r>
        <w:rPr>
          <w:rFonts w:cs="Times New Roman"/>
          <w:color w:val="000000" w:themeColor="text1"/>
          <w:szCs w:val="24"/>
          <w:lang w:val="lv-LV"/>
        </w:rPr>
        <w:t>, kas ir</w:t>
      </w:r>
      <w:r w:rsidRPr="00E47518">
        <w:rPr>
          <w:rFonts w:cs="Times New Roman"/>
          <w:color w:val="000000" w:themeColor="text1"/>
          <w:szCs w:val="24"/>
          <w:lang w:val="lv-LV"/>
        </w:rPr>
        <w:t xml:space="preserve"> </w:t>
      </w:r>
      <w:r w:rsidRPr="005E33EA">
        <w:rPr>
          <w:rFonts w:cs="Times New Roman"/>
          <w:color w:val="000000" w:themeColor="text1"/>
          <w:szCs w:val="24"/>
          <w:lang w:val="lv-LV"/>
        </w:rPr>
        <w:t>vidēja termiņa politikas plānošanas dokuments, kas nosaka vienotu valsts politiku un attīstības stratēģiju izglītībā</w:t>
      </w:r>
      <w:r>
        <w:rPr>
          <w:rFonts w:cs="Times New Roman"/>
          <w:color w:val="000000" w:themeColor="text1"/>
          <w:szCs w:val="24"/>
          <w:lang w:val="lv-LV"/>
        </w:rPr>
        <w:t>.</w:t>
      </w:r>
      <w:r w:rsidRPr="005E33EA">
        <w:rPr>
          <w:rFonts w:cs="Times New Roman"/>
          <w:color w:val="000000" w:themeColor="text1"/>
          <w:szCs w:val="24"/>
          <w:lang w:val="lv-LV"/>
        </w:rPr>
        <w:t xml:space="preserve"> </w:t>
      </w:r>
      <w:r>
        <w:rPr>
          <w:rFonts w:cs="Times New Roman"/>
          <w:color w:val="000000" w:themeColor="text1"/>
          <w:szCs w:val="24"/>
          <w:lang w:val="lv-LV"/>
        </w:rPr>
        <w:t>Pamatnostādņu 3.3.rīcības virziena ”Pieaugušo izglītības attīstība”</w:t>
      </w:r>
      <w:r w:rsidRPr="00E47518">
        <w:rPr>
          <w:rFonts w:cs="Times New Roman"/>
          <w:color w:val="000000" w:themeColor="text1"/>
          <w:szCs w:val="24"/>
          <w:lang w:val="lv-LV"/>
        </w:rPr>
        <w:t xml:space="preserve"> </w:t>
      </w:r>
      <w:r>
        <w:rPr>
          <w:rFonts w:cs="Times New Roman"/>
          <w:color w:val="000000" w:themeColor="text1"/>
          <w:szCs w:val="24"/>
          <w:lang w:val="lv-LV"/>
        </w:rPr>
        <w:t>3.3.1. uzdevums ”</w:t>
      </w:r>
      <w:r w:rsidRPr="00E47518">
        <w:rPr>
          <w:rFonts w:cs="Times New Roman"/>
          <w:color w:val="000000" w:themeColor="text1"/>
          <w:szCs w:val="24"/>
          <w:lang w:val="lv-LV"/>
        </w:rPr>
        <w:t>Nodrošināt kvalitatīvu un pieejamu pieaugušo izglītības piedāvājumu</w:t>
      </w:r>
      <w:r>
        <w:rPr>
          <w:rFonts w:cs="Times New Roman"/>
          <w:color w:val="000000" w:themeColor="text1"/>
          <w:szCs w:val="24"/>
          <w:lang w:val="lv-LV"/>
        </w:rPr>
        <w:t xml:space="preserve">” </w:t>
      </w:r>
      <w:r w:rsidRPr="00E47518">
        <w:rPr>
          <w:rFonts w:cs="Times New Roman"/>
          <w:color w:val="000000" w:themeColor="text1"/>
          <w:szCs w:val="24"/>
          <w:lang w:val="lv-LV"/>
        </w:rPr>
        <w:t xml:space="preserve">paredz  nodrošināt individualizētu un elastīgu pieaugušo </w:t>
      </w:r>
      <w:r w:rsidRPr="00A41772">
        <w:rPr>
          <w:rFonts w:cs="Times New Roman"/>
          <w:color w:val="000000" w:themeColor="text1"/>
          <w:szCs w:val="24"/>
          <w:lang w:val="lv-LV"/>
        </w:rPr>
        <w:t>izglītības piedāvājumu un sniegt atbalstu dalības šķēršļu mazināšanai. Tāpat pasākuma īstenošana sniegs būtisku pienesumu izglītības politikas rezultāta «kvalitatīva un mūsdienīga izglītība» rādītāju</w:t>
      </w:r>
      <w:r w:rsidRPr="00760EA9">
        <w:rPr>
          <w:rFonts w:cs="Times New Roman"/>
          <w:color w:val="000000" w:themeColor="text1"/>
          <w:szCs w:val="24"/>
          <w:lang w:val="lv-LV"/>
        </w:rPr>
        <w:t xml:space="preserve"> 2027.gadam sasniegšanai:</w:t>
      </w:r>
    </w:p>
    <w:p w14:paraId="71C744AD" w14:textId="77777777" w:rsidR="00A41772" w:rsidRPr="00760EA9" w:rsidRDefault="00A41772" w:rsidP="00A41772">
      <w:pPr>
        <w:pStyle w:val="ListParagraph"/>
        <w:numPr>
          <w:ilvl w:val="0"/>
          <w:numId w:val="3"/>
        </w:numPr>
        <w:spacing w:after="0" w:line="240" w:lineRule="auto"/>
        <w:ind w:left="567"/>
        <w:jc w:val="both"/>
        <w:rPr>
          <w:rFonts w:cs="Times New Roman"/>
          <w:color w:val="000000" w:themeColor="text1"/>
          <w:szCs w:val="24"/>
          <w:lang w:val="lv-LV"/>
        </w:rPr>
      </w:pPr>
      <w:r w:rsidRPr="00760EA9">
        <w:rPr>
          <w:rFonts w:cs="Times New Roman"/>
          <w:color w:val="000000" w:themeColor="text1"/>
          <w:szCs w:val="24"/>
          <w:lang w:val="lv-LV"/>
        </w:rPr>
        <w:t xml:space="preserve">pieaugušo dalības izglītībā palielināšana, jo īpaši iedzīvotāju grupām, kas mazāk iesaistās mācībās. Pieaugušo (25-64 gadi), kuri iesaistīti pieaugušo izglītībā, īpatsvaru 2027.gadā paredzēts palielināt līdz  12%. Saskaņā ar </w:t>
      </w:r>
      <w:proofErr w:type="spellStart"/>
      <w:r w:rsidRPr="00760EA9">
        <w:rPr>
          <w:rFonts w:cs="Times New Roman"/>
          <w:color w:val="000000" w:themeColor="text1"/>
          <w:szCs w:val="24"/>
          <w:lang w:val="lv-LV"/>
        </w:rPr>
        <w:t>Eurostat</w:t>
      </w:r>
      <w:proofErr w:type="spellEnd"/>
      <w:r w:rsidRPr="00760EA9">
        <w:rPr>
          <w:rFonts w:cs="Times New Roman"/>
          <w:color w:val="000000" w:themeColor="text1"/>
          <w:szCs w:val="24"/>
          <w:lang w:val="lv-LV"/>
        </w:rPr>
        <w:t xml:space="preserve"> 2019.gada datiem, iespējamība, ka pieaugušie Latvijā regulāri atjaunina savas zināšanas un prasmes, iesaistoties pieaugušo izglītībā, ir mazāka nekā vidēji ES. Tikai 7,4 % pieaugušo vecumā no 25 līdz 64 gadiem Latvijā pēdējo četru nedēļu laikā ir iesaistījušies mācībās. Kaut arī salīdzinājumā ar iepriekšējo plānošanas periodu dalība palielinājusies no 5,6 % 2014. gadā līdz 7,4 % (2019. gadā), tā joprojām ir zemāka par ES vidējo līmeni – 11,3 %. </w:t>
      </w:r>
    </w:p>
    <w:p w14:paraId="04A29657" w14:textId="77777777" w:rsidR="00A41772" w:rsidRPr="00760EA9" w:rsidRDefault="00A41772" w:rsidP="00A41772">
      <w:pPr>
        <w:pStyle w:val="ListParagraph"/>
        <w:numPr>
          <w:ilvl w:val="0"/>
          <w:numId w:val="3"/>
        </w:numPr>
        <w:spacing w:after="0" w:line="240" w:lineRule="auto"/>
        <w:ind w:left="567"/>
        <w:jc w:val="both"/>
        <w:rPr>
          <w:rFonts w:cs="Times New Roman"/>
          <w:color w:val="000000" w:themeColor="text1"/>
          <w:szCs w:val="24"/>
          <w:lang w:val="lv-LV"/>
        </w:rPr>
      </w:pPr>
      <w:r w:rsidRPr="00760EA9">
        <w:rPr>
          <w:rFonts w:cs="Times New Roman"/>
          <w:color w:val="000000" w:themeColor="text1"/>
          <w:szCs w:val="24"/>
          <w:lang w:val="lv-LV"/>
        </w:rPr>
        <w:t xml:space="preserve">digitālo prasmju pilnveide 16–74 </w:t>
      </w:r>
      <w:proofErr w:type="spellStart"/>
      <w:r w:rsidRPr="00760EA9">
        <w:rPr>
          <w:rFonts w:cs="Times New Roman"/>
          <w:color w:val="000000" w:themeColor="text1"/>
          <w:szCs w:val="24"/>
          <w:lang w:val="lv-LV"/>
        </w:rPr>
        <w:t>g.v</w:t>
      </w:r>
      <w:proofErr w:type="spellEnd"/>
      <w:r w:rsidRPr="00760EA9">
        <w:rPr>
          <w:rFonts w:cs="Times New Roman"/>
          <w:color w:val="000000" w:themeColor="text1"/>
          <w:szCs w:val="24"/>
          <w:lang w:val="lv-LV"/>
        </w:rPr>
        <w:t>.: vismaz pamata līmeņa digitālās prasmes (DESI indekss) -70%.</w:t>
      </w:r>
    </w:p>
    <w:p w14:paraId="6C6E33E3" w14:textId="34280D98" w:rsidR="00A41772" w:rsidRPr="005E33EA" w:rsidRDefault="00A41772" w:rsidP="00A41772">
      <w:pPr>
        <w:spacing w:after="0" w:line="240" w:lineRule="auto"/>
        <w:jc w:val="both"/>
        <w:rPr>
          <w:rFonts w:cs="Times New Roman"/>
          <w:bCs/>
          <w:szCs w:val="24"/>
          <w:lang w:val="lv-LV"/>
        </w:rPr>
      </w:pPr>
      <w:r w:rsidRPr="005E33EA">
        <w:rPr>
          <w:rFonts w:cs="Times New Roman"/>
          <w:bCs/>
          <w:szCs w:val="24"/>
          <w:lang w:val="lv-LV"/>
        </w:rPr>
        <w:t xml:space="preserve">4.2.4.2. pasākumam indikatīvi plānotais </w:t>
      </w:r>
      <w:r w:rsidRPr="00A41772">
        <w:rPr>
          <w:rFonts w:cs="Times New Roman"/>
          <w:b/>
          <w:szCs w:val="24"/>
          <w:lang w:val="lv-LV"/>
        </w:rPr>
        <w:t>kopējais attiecināmais finansējums</w:t>
      </w:r>
      <w:r w:rsidRPr="005E33EA">
        <w:rPr>
          <w:rFonts w:cs="Times New Roman"/>
          <w:bCs/>
          <w:szCs w:val="24"/>
          <w:lang w:val="lv-LV"/>
        </w:rPr>
        <w:t xml:space="preserve"> ir</w:t>
      </w:r>
      <w:r w:rsidRPr="00A41772">
        <w:rPr>
          <w:lang w:val="lv-LV"/>
        </w:rPr>
        <w:t xml:space="preserve"> 34 623 466 EUR</w:t>
      </w:r>
      <w:r>
        <w:rPr>
          <w:rFonts w:cs="Times New Roman"/>
          <w:bCs/>
          <w:szCs w:val="24"/>
          <w:lang w:val="lv-LV"/>
        </w:rPr>
        <w:t>.</w:t>
      </w:r>
    </w:p>
    <w:p w14:paraId="786EB4B3" w14:textId="4A3F86FB" w:rsidR="00B427F5" w:rsidRPr="00760EA9" w:rsidRDefault="00B427F5" w:rsidP="00760EA9">
      <w:pPr>
        <w:pStyle w:val="ListParagraph"/>
        <w:spacing w:after="0" w:line="240" w:lineRule="auto"/>
        <w:ind w:hanging="360"/>
        <w:jc w:val="both"/>
        <w:rPr>
          <w:rFonts w:cs="Times New Roman"/>
          <w:b/>
          <w:bCs/>
          <w:szCs w:val="24"/>
          <w:lang w:val="lv-LV"/>
        </w:rPr>
      </w:pPr>
    </w:p>
    <w:p w14:paraId="022A18AA" w14:textId="77777777" w:rsidR="00B427F5" w:rsidRPr="005827DC" w:rsidRDefault="00B427F5" w:rsidP="00B427F5">
      <w:pPr>
        <w:pStyle w:val="ListParagraph"/>
        <w:spacing w:after="0" w:line="240" w:lineRule="auto"/>
        <w:ind w:hanging="360"/>
        <w:jc w:val="both"/>
        <w:rPr>
          <w:rFonts w:cs="Times New Roman"/>
          <w:b/>
          <w:bCs/>
          <w:szCs w:val="24"/>
          <w:lang w:val="lv-LV"/>
        </w:rPr>
      </w:pPr>
    </w:p>
    <w:p w14:paraId="7506BD2E" w14:textId="5BB373D6" w:rsidR="00B427F5" w:rsidRPr="005827DC" w:rsidRDefault="00B427F5" w:rsidP="00B427F5">
      <w:pPr>
        <w:pStyle w:val="ListParagraph"/>
        <w:numPr>
          <w:ilvl w:val="0"/>
          <w:numId w:val="1"/>
        </w:numPr>
        <w:spacing w:after="0" w:line="240" w:lineRule="auto"/>
        <w:jc w:val="both"/>
        <w:rPr>
          <w:rFonts w:eastAsia="Times New Roman" w:cs="Times New Roman"/>
          <w:b/>
          <w:bCs/>
          <w:color w:val="000000"/>
          <w:szCs w:val="24"/>
          <w:lang w:val="lv-LV" w:eastAsia="en-GB" w:bidi="ne-NP"/>
        </w:rPr>
      </w:pPr>
      <w:r w:rsidRPr="005827DC">
        <w:rPr>
          <w:rFonts w:eastAsia="Times New Roman" w:cs="Times New Roman"/>
          <w:b/>
          <w:bCs/>
          <w:color w:val="000000"/>
          <w:szCs w:val="24"/>
          <w:lang w:val="lv-LV" w:eastAsia="en-GB" w:bidi="ne-NP"/>
        </w:rPr>
        <w:t xml:space="preserve">4.3.3.3. pasākums “Atbalsts sociālajai uzņēmējdarbībai” </w:t>
      </w:r>
    </w:p>
    <w:p w14:paraId="09940414" w14:textId="77777777" w:rsidR="00536316" w:rsidRPr="00A41772" w:rsidRDefault="00536316" w:rsidP="00536316">
      <w:pPr>
        <w:spacing w:after="0" w:line="240" w:lineRule="auto"/>
        <w:jc w:val="both"/>
        <w:rPr>
          <w:lang w:val="lv-LV"/>
        </w:rPr>
      </w:pPr>
      <w:r w:rsidRPr="00536316">
        <w:rPr>
          <w:lang w:val="lv-LV"/>
        </w:rPr>
        <w:t xml:space="preserve">4.3.3.3. pasākuma ietvaros </w:t>
      </w:r>
      <w:r w:rsidRPr="00A41772">
        <w:rPr>
          <w:b/>
          <w:bCs/>
          <w:lang w:val="lv-LV"/>
        </w:rPr>
        <w:t>plānots pilnveidot</w:t>
      </w:r>
      <w:r w:rsidRPr="00536316">
        <w:rPr>
          <w:lang w:val="lv-LV"/>
        </w:rPr>
        <w:t xml:space="preserve"> sociālās uzņēmējdarbības vidi Latvijā un sniegt atbalstu esošajiem un potenciālajiem sociālajiem uzņēmumiem, </w:t>
      </w:r>
      <w:r w:rsidRPr="00A41772">
        <w:rPr>
          <w:lang w:val="lv-LV"/>
        </w:rPr>
        <w:t xml:space="preserve">kas saskaņā ar Sociālā uzņēmuma likumā definētajiem mērķiem veicina sabiedrības dzīves kvalitātes uzlabošanu un sekmē sociālās atstumtības riskam pakļauto iedzīvotāju grupu nodarbinātību. </w:t>
      </w:r>
    </w:p>
    <w:p w14:paraId="0E6D2ADE" w14:textId="2AC524AC" w:rsidR="00536316" w:rsidRPr="00536316" w:rsidRDefault="00536316" w:rsidP="00536316">
      <w:pPr>
        <w:spacing w:after="0" w:line="240" w:lineRule="auto"/>
        <w:jc w:val="both"/>
        <w:rPr>
          <w:lang w:val="lv-LV"/>
        </w:rPr>
      </w:pPr>
      <w:r w:rsidRPr="00A41772">
        <w:rPr>
          <w:lang w:val="lv-LV"/>
        </w:rPr>
        <w:t>Kopš 2018.gada Latvijā ir izveidots sociālās uzņēmējdar</w:t>
      </w:r>
      <w:r w:rsidRPr="00536316">
        <w:rPr>
          <w:lang w:val="lv-LV"/>
        </w:rPr>
        <w:t xml:space="preserve">bības tiesiskais ietvars un </w:t>
      </w:r>
      <w:r w:rsidR="000A738E">
        <w:rPr>
          <w:lang w:val="lv-LV"/>
        </w:rPr>
        <w:t xml:space="preserve">ES </w:t>
      </w:r>
      <w:r w:rsidR="004E62F8" w:rsidRPr="004E62F8">
        <w:rPr>
          <w:lang w:val="lv-LV"/>
        </w:rPr>
        <w:t>struktūrfondu un Kohēzijas fonda 2014.—2020.gada plānošanas perioda</w:t>
      </w:r>
      <w:r w:rsidR="004E62F8">
        <w:rPr>
          <w:lang w:val="lv-LV"/>
        </w:rPr>
        <w:t xml:space="preserve"> </w:t>
      </w:r>
      <w:r w:rsidR="00271E95">
        <w:rPr>
          <w:lang w:val="lv-LV"/>
        </w:rPr>
        <w:t>d</w:t>
      </w:r>
      <w:r w:rsidR="00271E95" w:rsidRPr="00271E95">
        <w:rPr>
          <w:lang w:val="lv-LV"/>
        </w:rPr>
        <w:t xml:space="preserve">arbības programmas </w:t>
      </w:r>
      <w:r w:rsidR="00271E95">
        <w:rPr>
          <w:lang w:val="lv-LV"/>
        </w:rPr>
        <w:t>“</w:t>
      </w:r>
      <w:r w:rsidR="00271E95" w:rsidRPr="00271E95">
        <w:rPr>
          <w:lang w:val="lv-LV"/>
        </w:rPr>
        <w:t>Izaugsme un nodarbinātība</w:t>
      </w:r>
      <w:r w:rsidR="00271E95">
        <w:rPr>
          <w:lang w:val="lv-LV"/>
        </w:rPr>
        <w:t>”</w:t>
      </w:r>
      <w:r w:rsidR="00271E95" w:rsidRPr="00271E95">
        <w:rPr>
          <w:lang w:val="lv-LV"/>
        </w:rPr>
        <w:t xml:space="preserve"> 9.1.1. specifiskā atbalsta mērķa </w:t>
      </w:r>
      <w:r w:rsidR="00271E95">
        <w:rPr>
          <w:lang w:val="lv-LV"/>
        </w:rPr>
        <w:t>“</w:t>
      </w:r>
      <w:r w:rsidR="00271E95" w:rsidRPr="00271E95">
        <w:rPr>
          <w:lang w:val="lv-LV"/>
        </w:rPr>
        <w:t>Palielināt sociālās atstumtības riskam pakļauto mērķa grupu, tostarp bezdarbnieku, tai skaitā nelabvēlīgākā situācijā esošu bezdarbnieku, iekļaušanos darba tirgū</w:t>
      </w:r>
      <w:r w:rsidR="00271E95">
        <w:rPr>
          <w:lang w:val="lv-LV"/>
        </w:rPr>
        <w:t xml:space="preserve">” </w:t>
      </w:r>
      <w:r w:rsidRPr="00536316">
        <w:rPr>
          <w:lang w:val="lv-LV"/>
        </w:rPr>
        <w:t>9.1.1.3. pasākuma projekts "Atbalsts sociālajai uzņēmējdarbībai" ir devis būtisku ieguldījumu sociālo uzņēmumu atbalstam, tai skaitā, nodrošinot konsultējošus, izglītojošus, motivējošus, kā arī finansiāli atbalstošus (</w:t>
      </w:r>
      <w:proofErr w:type="spellStart"/>
      <w:r w:rsidRPr="00536316">
        <w:rPr>
          <w:lang w:val="lv-LV"/>
        </w:rPr>
        <w:t>granta</w:t>
      </w:r>
      <w:proofErr w:type="spellEnd"/>
      <w:r w:rsidRPr="00536316">
        <w:rPr>
          <w:lang w:val="lv-LV"/>
        </w:rPr>
        <w:t xml:space="preserve"> veidā) pasākumus. </w:t>
      </w:r>
      <w:r w:rsidR="000A738E">
        <w:rPr>
          <w:lang w:val="lv-LV"/>
        </w:rPr>
        <w:t xml:space="preserve">ES </w:t>
      </w:r>
      <w:r w:rsidR="00271E95" w:rsidRPr="00271E95">
        <w:rPr>
          <w:lang w:val="lv-LV"/>
        </w:rPr>
        <w:t>fondu 2021.—2027. gada plānošanas perioda</w:t>
      </w:r>
      <w:r w:rsidR="00271E95">
        <w:rPr>
          <w:lang w:val="lv-LV"/>
        </w:rPr>
        <w:t xml:space="preserve"> </w:t>
      </w:r>
      <w:r w:rsidRPr="00536316">
        <w:rPr>
          <w:lang w:val="lv-LV"/>
        </w:rPr>
        <w:t xml:space="preserve">4.3.3.3. pasākuma ietvaros plānots turpināt sniegt atbalstu sociālajiem uzņēmumiem un sociālās uzņēmējdarbības veicējiem, lai nodrošinātu pēctecību iesāktajām aktivitātēm un sekmētu sociālās uzņēmējdarbības ekosistēmas attīstību un ilgtspēju kopumā. 4.3.3.3. pasākuma ietvaros tiks veikts izglītojošais un skaidrojošais darbs, stiprināta sociālo uzņēmumu veiktspēju (mācības, konsultācijas, </w:t>
      </w:r>
      <w:proofErr w:type="spellStart"/>
      <w:r w:rsidRPr="00536316">
        <w:rPr>
          <w:lang w:val="lv-LV"/>
        </w:rPr>
        <w:t>mentorings</w:t>
      </w:r>
      <w:proofErr w:type="spellEnd"/>
      <w:r w:rsidRPr="00536316">
        <w:rPr>
          <w:lang w:val="lv-LV"/>
        </w:rPr>
        <w:t>, granti), informēta sabiedrība un publiskais/privātais sektors par sociālās uzņēmējdarbības nozīmi un labvēlīgo ietekmi.</w:t>
      </w:r>
    </w:p>
    <w:p w14:paraId="0D123196" w14:textId="77777777" w:rsidR="00536316" w:rsidRPr="00536316" w:rsidRDefault="00536316" w:rsidP="00536316">
      <w:pPr>
        <w:spacing w:after="0" w:line="240" w:lineRule="auto"/>
        <w:jc w:val="both"/>
        <w:rPr>
          <w:lang w:val="lv-LV"/>
        </w:rPr>
      </w:pPr>
      <w:r w:rsidRPr="00536316">
        <w:rPr>
          <w:lang w:val="lv-LV"/>
        </w:rPr>
        <w:t xml:space="preserve">Pēdējos gados notiekošās pārmaiņas ekonomikā un darba tirgū ietekmē arī sociālās uzņēmējdarbības jomu un rada daudz izaicinājumu, tāpēc nepieciešams turpmāks atbalsts sociālās uzņēmējdarbības vides pilnveidošanai un nostiprināšanai. Lai arī sociālā uzņēmējdarbība ir salīdzinoši jauna politika, tā uzskatāma par neatņemamu Eiropas daudzveidīgās sociālās tirgus ekonomikas sastāvdaļu, un tā sekmē sociālo atbildību, sociālo kohēziju un sociālo iekļaušanu. Vienlaikus, sociālie uzņēmumi var darboties kā sociālo pārmaiņu dzinējspēks, piedāvājot inovatīvus risinājumus. Turklāt, 2021.gada 9.decembrī Eiropas Komisija ir apstiprinājusi Sociālās ekonomikas rīcības plānu, kura mērķis ir atbalstīt sociālās ekonomikas attīstību, veicināt sociālās inovācijas un mazināt sociālo nevienlīdzību. </w:t>
      </w:r>
      <w:r w:rsidRPr="00A41772">
        <w:rPr>
          <w:lang w:val="lv-LV"/>
        </w:rPr>
        <w:t xml:space="preserve">Minētie mērķi ir </w:t>
      </w:r>
      <w:r w:rsidRPr="00A41772">
        <w:rPr>
          <w:lang w:val="lv-LV"/>
        </w:rPr>
        <w:lastRenderedPageBreak/>
        <w:t>aktuāli sociālās uzņēmējdarbībai jomā arī Latvijā, tāpēc 4.</w:t>
      </w:r>
      <w:r w:rsidRPr="00536316">
        <w:rPr>
          <w:lang w:val="lv-LV"/>
        </w:rPr>
        <w:t xml:space="preserve">3.3.3. pasākums </w:t>
      </w:r>
      <w:r w:rsidRPr="00A41772">
        <w:rPr>
          <w:b/>
          <w:bCs/>
          <w:lang w:val="lv-LV"/>
        </w:rPr>
        <w:t>ir stratēģiski svarīgs</w:t>
      </w:r>
      <w:r w:rsidRPr="00536316">
        <w:rPr>
          <w:lang w:val="lv-LV"/>
        </w:rPr>
        <w:t xml:space="preserve">, lai nostiprinātu sociālās uzņēmējdarbības ekosistēmu Latvijā.  </w:t>
      </w:r>
    </w:p>
    <w:p w14:paraId="0E04FE0B" w14:textId="77777777" w:rsidR="00536316" w:rsidRPr="00536316" w:rsidRDefault="00536316" w:rsidP="00536316">
      <w:pPr>
        <w:spacing w:after="0" w:line="240" w:lineRule="auto"/>
        <w:jc w:val="both"/>
        <w:rPr>
          <w:lang w:val="lv-LV"/>
        </w:rPr>
      </w:pPr>
      <w:r w:rsidRPr="00536316">
        <w:rPr>
          <w:lang w:val="lv-LV"/>
        </w:rPr>
        <w:t xml:space="preserve">4.3.3.3. pasākumam pieejamais </w:t>
      </w:r>
      <w:r w:rsidRPr="00536316">
        <w:rPr>
          <w:b/>
          <w:bCs/>
          <w:lang w:val="lv-LV"/>
        </w:rPr>
        <w:t>kopējais attiecināmais finansējums</w:t>
      </w:r>
      <w:r w:rsidRPr="00536316">
        <w:rPr>
          <w:lang w:val="lv-LV"/>
        </w:rPr>
        <w:t xml:space="preserve"> ir 12 000 000 EUR.</w:t>
      </w:r>
    </w:p>
    <w:p w14:paraId="6516600D" w14:textId="2400DE31" w:rsidR="00B427F5" w:rsidRPr="005827DC" w:rsidRDefault="00B427F5" w:rsidP="00536316">
      <w:pPr>
        <w:spacing w:after="0" w:line="240" w:lineRule="auto"/>
        <w:ind w:left="720" w:hanging="360"/>
        <w:jc w:val="both"/>
        <w:rPr>
          <w:rFonts w:eastAsia="Times New Roman" w:cs="Times New Roman"/>
          <w:b/>
          <w:bCs/>
          <w:color w:val="000000"/>
          <w:szCs w:val="24"/>
          <w:lang w:val="lv-LV" w:eastAsia="en-GB" w:bidi="ne-NP"/>
        </w:rPr>
      </w:pPr>
    </w:p>
    <w:p w14:paraId="5058CCA1" w14:textId="77777777" w:rsidR="00B427F5" w:rsidRPr="005827DC" w:rsidRDefault="00B427F5" w:rsidP="00B427F5">
      <w:pPr>
        <w:spacing w:after="0" w:line="240" w:lineRule="auto"/>
        <w:ind w:left="720" w:hanging="360"/>
        <w:jc w:val="both"/>
        <w:rPr>
          <w:rFonts w:eastAsia="Times New Roman" w:cs="Times New Roman"/>
          <w:b/>
          <w:bCs/>
          <w:color w:val="000000"/>
          <w:szCs w:val="24"/>
          <w:lang w:val="lv-LV" w:eastAsia="en-GB" w:bidi="ne-NP"/>
        </w:rPr>
      </w:pPr>
    </w:p>
    <w:p w14:paraId="06958D34" w14:textId="77777777" w:rsidR="00AE0380" w:rsidRPr="005827DC" w:rsidRDefault="00AE0380" w:rsidP="00AE0380">
      <w:pPr>
        <w:pStyle w:val="ListParagraph"/>
        <w:numPr>
          <w:ilvl w:val="0"/>
          <w:numId w:val="1"/>
        </w:numPr>
        <w:spacing w:after="0" w:line="240" w:lineRule="auto"/>
        <w:jc w:val="both"/>
        <w:rPr>
          <w:rFonts w:eastAsia="Times New Roman" w:cs="Times New Roman"/>
          <w:b/>
          <w:bCs/>
          <w:szCs w:val="24"/>
          <w:lang w:val="lv-LV"/>
        </w:rPr>
      </w:pPr>
      <w:r w:rsidRPr="005827DC">
        <w:rPr>
          <w:rFonts w:eastAsia="Times New Roman" w:cs="Times New Roman"/>
          <w:b/>
          <w:bCs/>
          <w:szCs w:val="24"/>
          <w:lang w:val="lv-LV"/>
        </w:rPr>
        <w:t xml:space="preserve">4.3.5.1. pasākums “Sabiedrībā balstītu sociālo pakalpojumu pieejamības palielināšana” </w:t>
      </w:r>
    </w:p>
    <w:p w14:paraId="3256A562" w14:textId="7A8734BC" w:rsidR="00AE0380" w:rsidRPr="006130C2" w:rsidRDefault="00AE0380" w:rsidP="00AE0380">
      <w:pPr>
        <w:spacing w:line="240" w:lineRule="auto"/>
        <w:jc w:val="both"/>
        <w:rPr>
          <w:rFonts w:cs="Times New Roman"/>
          <w:szCs w:val="24"/>
          <w:lang w:val="lv-LV"/>
        </w:rPr>
      </w:pPr>
      <w:r w:rsidRPr="006130C2">
        <w:rPr>
          <w:rFonts w:cs="Times New Roman"/>
          <w:szCs w:val="24"/>
          <w:lang w:val="lv-LV"/>
        </w:rPr>
        <w:t xml:space="preserve">Atbalsts DI turpināšanai </w:t>
      </w:r>
      <w:r w:rsidRPr="006130C2">
        <w:rPr>
          <w:rFonts w:cs="Times New Roman"/>
          <w:b/>
          <w:bCs/>
          <w:szCs w:val="24"/>
          <w:lang w:val="lv-LV"/>
        </w:rPr>
        <w:t>ir nozarei būtisks</w:t>
      </w:r>
      <w:r w:rsidRPr="006130C2">
        <w:rPr>
          <w:rFonts w:cs="Times New Roman"/>
          <w:szCs w:val="24"/>
          <w:lang w:val="lv-LV"/>
        </w:rPr>
        <w:t xml:space="preserve">, jo nepieciešams turpināt pāreju no institucionālās aprūpes uz sabiedrībā balstītu sociālo pakalpojumu sniegšanu, tai skaitā veidojot jaunu vai attīstot esošo pakalpojumu infrastruktūru un sniedzot atbalstu esošiem vai </w:t>
      </w:r>
      <w:proofErr w:type="spellStart"/>
      <w:r w:rsidRPr="006130C2">
        <w:rPr>
          <w:rFonts w:cs="Times New Roman"/>
          <w:szCs w:val="24"/>
          <w:lang w:val="lv-LV"/>
        </w:rPr>
        <w:t>jaunizveidotiem</w:t>
      </w:r>
      <w:proofErr w:type="spellEnd"/>
      <w:r w:rsidRPr="006130C2">
        <w:rPr>
          <w:rFonts w:cs="Times New Roman"/>
          <w:szCs w:val="24"/>
          <w:lang w:val="lv-LV"/>
        </w:rPr>
        <w:t xml:space="preserve"> pakalpojumu sniedzējiem sabiedrībā balstītu sociālo pakalpojumu sniegšanai mērķa grupas personām. 4.3.5.1.pasākumu plānots īstenot trīs kārtās – 1.kārtā ar </w:t>
      </w:r>
      <w:proofErr w:type="spellStart"/>
      <w:r w:rsidRPr="006130C2">
        <w:rPr>
          <w:rFonts w:cs="Times New Roman"/>
          <w:szCs w:val="24"/>
          <w:lang w:val="lv-LV"/>
        </w:rPr>
        <w:t>šķērsfinansējumu</w:t>
      </w:r>
      <w:proofErr w:type="spellEnd"/>
      <w:r w:rsidRPr="006130C2">
        <w:rPr>
          <w:rFonts w:cs="Times New Roman"/>
          <w:szCs w:val="24"/>
          <w:lang w:val="lv-LV"/>
        </w:rPr>
        <w:t xml:space="preserve"> tiks nodrošināta 540 jaunu pakalpojumu sniegšanas vietu izveide vai esošo pakalpojumu sniegšanas vietu labiekārtošana, kā arī secīga pakalpojumu sniegšana </w:t>
      </w:r>
      <w:proofErr w:type="spellStart"/>
      <w:r w:rsidRPr="006130C2">
        <w:rPr>
          <w:rFonts w:cs="Times New Roman"/>
          <w:szCs w:val="24"/>
          <w:lang w:val="lv-LV"/>
        </w:rPr>
        <w:t>jaunizveidotajā</w:t>
      </w:r>
      <w:proofErr w:type="spellEnd"/>
      <w:r w:rsidRPr="006130C2">
        <w:rPr>
          <w:rFonts w:cs="Times New Roman"/>
          <w:szCs w:val="24"/>
          <w:lang w:val="lv-LV"/>
        </w:rPr>
        <w:t xml:space="preserve"> infrastruktūrā</w:t>
      </w:r>
      <w:r>
        <w:rPr>
          <w:rFonts w:cs="Times New Roman"/>
          <w:szCs w:val="24"/>
          <w:lang w:val="lv-LV"/>
        </w:rPr>
        <w:t>.</w:t>
      </w:r>
      <w:r w:rsidRPr="006130C2">
        <w:rPr>
          <w:rFonts w:cs="Times New Roman"/>
          <w:szCs w:val="24"/>
          <w:lang w:val="lv-LV"/>
        </w:rPr>
        <w:t xml:space="preserve"> 2. kārtā tiks nodrošināts atbalsts sabiedrībā balstītu sociālo pakalpojumu sniegšanai mērķa grupas personām jau esošā pakalpojumu infrastruktūrā vai </w:t>
      </w:r>
      <w:r>
        <w:rPr>
          <w:rFonts w:cs="Times New Roman"/>
          <w:szCs w:val="24"/>
          <w:lang w:val="lv-LV"/>
        </w:rPr>
        <w:t xml:space="preserve">tiks sniegti tādi pakalpojumi, kur </w:t>
      </w:r>
      <w:r w:rsidRPr="006130C2">
        <w:rPr>
          <w:rFonts w:cs="Times New Roman"/>
          <w:szCs w:val="24"/>
          <w:lang w:val="lv-LV"/>
        </w:rPr>
        <w:t xml:space="preserve">infrastruktūra nav nepieciešama. 3.kārtā tiks </w:t>
      </w:r>
      <w:r>
        <w:rPr>
          <w:rFonts w:cs="Times New Roman"/>
          <w:szCs w:val="24"/>
          <w:lang w:val="lv-LV"/>
        </w:rPr>
        <w:t>sniegti</w:t>
      </w:r>
      <w:r w:rsidRPr="006130C2">
        <w:rPr>
          <w:rFonts w:cs="Times New Roman"/>
          <w:szCs w:val="24"/>
          <w:lang w:val="lv-LV"/>
        </w:rPr>
        <w:t xml:space="preserve"> pakalpojum</w:t>
      </w:r>
      <w:r>
        <w:rPr>
          <w:rFonts w:cs="Times New Roman"/>
          <w:szCs w:val="24"/>
          <w:lang w:val="lv-LV"/>
        </w:rPr>
        <w:t>i</w:t>
      </w:r>
      <w:r w:rsidRPr="006130C2">
        <w:rPr>
          <w:rFonts w:cs="Times New Roman"/>
          <w:szCs w:val="24"/>
          <w:lang w:val="lv-LV"/>
        </w:rPr>
        <w:t xml:space="preserve"> 4.3.1.5. pasākumu ietvaros izveidotajā pakalpojumu infrastruktūrā personām ar ļoti smagiem garīga rakstura traucējumiem. 4.3.5.1. pasākumam </w:t>
      </w:r>
      <w:r w:rsidRPr="006130C2">
        <w:rPr>
          <w:rFonts w:cs="Times New Roman"/>
          <w:b/>
          <w:bCs/>
          <w:szCs w:val="24"/>
          <w:lang w:val="lv-LV"/>
        </w:rPr>
        <w:t>pieejamais kopējais attiecināmais finansējums</w:t>
      </w:r>
      <w:r w:rsidRPr="006130C2">
        <w:rPr>
          <w:rFonts w:cs="Times New Roman"/>
          <w:szCs w:val="24"/>
          <w:lang w:val="lv-LV"/>
        </w:rPr>
        <w:t xml:space="preserve"> ir 76 874 615 EUR</w:t>
      </w:r>
      <w:r w:rsidR="002A6E8B">
        <w:rPr>
          <w:rFonts w:cs="Times New Roman"/>
          <w:szCs w:val="24"/>
          <w:lang w:val="lv-LV"/>
        </w:rPr>
        <w:t>.</w:t>
      </w:r>
    </w:p>
    <w:p w14:paraId="2469A5EC" w14:textId="77777777" w:rsidR="00AE0380" w:rsidRPr="005827DC" w:rsidRDefault="00AE0380" w:rsidP="00AE0380">
      <w:pPr>
        <w:spacing w:after="0" w:line="240" w:lineRule="auto"/>
        <w:ind w:left="720" w:hanging="360"/>
        <w:jc w:val="both"/>
        <w:rPr>
          <w:rFonts w:eastAsia="Times New Roman" w:cs="Times New Roman"/>
          <w:b/>
          <w:bCs/>
          <w:szCs w:val="24"/>
          <w:lang w:val="lv-LV"/>
        </w:rPr>
      </w:pPr>
    </w:p>
    <w:p w14:paraId="040F0FC7" w14:textId="77777777" w:rsidR="00AE0380" w:rsidRPr="005827DC" w:rsidRDefault="00AE0380" w:rsidP="00AE0380">
      <w:pPr>
        <w:pStyle w:val="ListParagraph"/>
        <w:numPr>
          <w:ilvl w:val="0"/>
          <w:numId w:val="1"/>
        </w:numPr>
        <w:spacing w:after="0" w:line="240" w:lineRule="auto"/>
        <w:jc w:val="both"/>
        <w:rPr>
          <w:rFonts w:eastAsia="Times New Roman" w:cs="Times New Roman"/>
          <w:b/>
          <w:bCs/>
          <w:color w:val="000000"/>
          <w:szCs w:val="24"/>
          <w:lang w:val="lv-LV" w:eastAsia="en-GB" w:bidi="ne-NP"/>
        </w:rPr>
      </w:pPr>
      <w:r w:rsidRPr="005827DC">
        <w:rPr>
          <w:rFonts w:eastAsia="Times New Roman" w:cs="Times New Roman"/>
          <w:b/>
          <w:bCs/>
          <w:color w:val="000000"/>
          <w:szCs w:val="24"/>
          <w:lang w:val="lv-LV" w:eastAsia="en-GB" w:bidi="ne-NP"/>
        </w:rPr>
        <w:t xml:space="preserve">4.4.1.1. pasākums “Atbalsts jaunām pieejām sabiedrībā balstītu sociālo pakalpojumu sniegšanā (inovācijas)” </w:t>
      </w:r>
    </w:p>
    <w:p w14:paraId="50DCEBE1" w14:textId="65E9BE86" w:rsidR="00AE0380" w:rsidRPr="006130C2" w:rsidRDefault="00AE0380" w:rsidP="00AE0380">
      <w:pPr>
        <w:spacing w:line="240" w:lineRule="auto"/>
        <w:jc w:val="both"/>
        <w:rPr>
          <w:szCs w:val="24"/>
          <w:lang w:val="lv-LV"/>
        </w:rPr>
      </w:pPr>
      <w:r w:rsidRPr="006130C2">
        <w:rPr>
          <w:rFonts w:cs="Times New Roman"/>
          <w:szCs w:val="24"/>
          <w:lang w:val="lv-LV"/>
        </w:rPr>
        <w:t xml:space="preserve">Atbalsts sociālajām inovācijām </w:t>
      </w:r>
      <w:r w:rsidRPr="006130C2">
        <w:rPr>
          <w:rFonts w:cs="Times New Roman"/>
          <w:b/>
          <w:bCs/>
          <w:szCs w:val="24"/>
          <w:lang w:val="lv-LV"/>
        </w:rPr>
        <w:t>ir stratēģiski svarīgs sociālo pakalpojumu jomā</w:t>
      </w:r>
      <w:r w:rsidRPr="006130C2">
        <w:rPr>
          <w:rFonts w:cs="Times New Roman"/>
          <w:szCs w:val="24"/>
          <w:lang w:val="lv-LV"/>
        </w:rPr>
        <w:t>, jo tiks nodrošinātas inovatīvas un uz pierādījumiem balstītas pieejas esošos vai jaunu sociālo pakalpojumu sniegšanā mērķa grupas personām. 4.4.1.1.pasākuma finansējuma saņēmējs būs Sabiedrības integrācijas fonds, kurš organizēs sociālo inovāciju ideju konkursu un vēlāk organizēs arī atbalsta sociālo inovāciju īstenošanai piekrišanu un uzraudzību.</w:t>
      </w:r>
      <w:r>
        <w:rPr>
          <w:rFonts w:cs="Times New Roman"/>
          <w:szCs w:val="24"/>
          <w:lang w:val="lv-LV"/>
        </w:rPr>
        <w:t xml:space="preserve"> Paredzēts, ka</w:t>
      </w:r>
      <w:r w:rsidRPr="006130C2">
        <w:rPr>
          <w:rFonts w:cs="Times New Roman"/>
          <w:szCs w:val="24"/>
          <w:lang w:val="lv-LV"/>
        </w:rPr>
        <w:t xml:space="preserve"> </w:t>
      </w:r>
      <w:r>
        <w:rPr>
          <w:rFonts w:cs="Times New Roman"/>
          <w:szCs w:val="24"/>
          <w:lang w:val="lv-LV"/>
        </w:rPr>
        <w:t>s</w:t>
      </w:r>
      <w:r w:rsidRPr="006130C2">
        <w:rPr>
          <w:rFonts w:cs="Times New Roman"/>
          <w:szCs w:val="24"/>
          <w:lang w:val="lv-LV"/>
        </w:rPr>
        <w:t xml:space="preserve">ociālās inovācijas varēs pieteikt gan pašvaldības, gan NVO, gan citi sociālo pakalpojumu sniedzēji. </w:t>
      </w:r>
      <w:r>
        <w:rPr>
          <w:rFonts w:cs="Times New Roman"/>
          <w:szCs w:val="24"/>
          <w:lang w:val="lv-LV"/>
        </w:rPr>
        <w:t>S</w:t>
      </w:r>
      <w:r w:rsidRPr="006130C2">
        <w:rPr>
          <w:rFonts w:cs="Times New Roman"/>
          <w:szCs w:val="24"/>
          <w:lang w:val="lv-LV"/>
        </w:rPr>
        <w:t>ociāl</w:t>
      </w:r>
      <w:r>
        <w:rPr>
          <w:rFonts w:cs="Times New Roman"/>
          <w:szCs w:val="24"/>
          <w:lang w:val="lv-LV"/>
        </w:rPr>
        <w:t>ās</w:t>
      </w:r>
      <w:r w:rsidRPr="006130C2">
        <w:rPr>
          <w:rFonts w:cs="Times New Roman"/>
          <w:szCs w:val="24"/>
          <w:lang w:val="lv-LV"/>
        </w:rPr>
        <w:t xml:space="preserve"> inovācij</w:t>
      </w:r>
      <w:r>
        <w:rPr>
          <w:rFonts w:cs="Times New Roman"/>
          <w:szCs w:val="24"/>
          <w:lang w:val="lv-LV"/>
        </w:rPr>
        <w:t xml:space="preserve">as īstenošanas posmā paredzēta arī </w:t>
      </w:r>
      <w:r w:rsidRPr="006130C2">
        <w:rPr>
          <w:rFonts w:cs="Times New Roman"/>
          <w:szCs w:val="24"/>
          <w:lang w:val="lv-LV"/>
        </w:rPr>
        <w:t>pilotprojekt</w:t>
      </w:r>
      <w:r>
        <w:rPr>
          <w:rFonts w:cs="Times New Roman"/>
          <w:szCs w:val="24"/>
          <w:lang w:val="lv-LV"/>
        </w:rPr>
        <w:t>u īstenošana</w:t>
      </w:r>
      <w:r w:rsidRPr="006130C2">
        <w:rPr>
          <w:rFonts w:cs="Times New Roman"/>
          <w:szCs w:val="24"/>
          <w:lang w:val="lv-LV"/>
        </w:rPr>
        <w:t xml:space="preserve">, sniedzot </w:t>
      </w:r>
      <w:r>
        <w:rPr>
          <w:rFonts w:cs="Times New Roman"/>
          <w:szCs w:val="24"/>
          <w:lang w:val="lv-LV"/>
        </w:rPr>
        <w:t xml:space="preserve">atbalsta </w:t>
      </w:r>
      <w:r w:rsidRPr="006130C2">
        <w:rPr>
          <w:rFonts w:cs="Times New Roman"/>
          <w:szCs w:val="24"/>
          <w:lang w:val="lv-LV"/>
        </w:rPr>
        <w:t>pakalpojumus mērķa grupas personām. 4.4.1.1.pasākuma plānot</w:t>
      </w:r>
      <w:r>
        <w:rPr>
          <w:rFonts w:cs="Times New Roman"/>
          <w:szCs w:val="24"/>
          <w:lang w:val="lv-LV"/>
        </w:rPr>
        <w:t>ai</w:t>
      </w:r>
      <w:r w:rsidRPr="006130C2">
        <w:rPr>
          <w:rFonts w:cs="Times New Roman"/>
          <w:szCs w:val="24"/>
          <w:lang w:val="lv-LV"/>
        </w:rPr>
        <w:t xml:space="preserve">s </w:t>
      </w:r>
      <w:r w:rsidRPr="00AE0380">
        <w:rPr>
          <w:rFonts w:cs="Times New Roman"/>
          <w:b/>
          <w:bCs/>
          <w:szCs w:val="24"/>
          <w:lang w:val="lv-LV"/>
        </w:rPr>
        <w:t>kopējais attiecināmais finansējums</w:t>
      </w:r>
      <w:r w:rsidRPr="006130C2">
        <w:rPr>
          <w:rFonts w:cs="Times New Roman"/>
          <w:szCs w:val="24"/>
          <w:lang w:val="lv-LV"/>
        </w:rPr>
        <w:t xml:space="preserve"> </w:t>
      </w:r>
      <w:r>
        <w:rPr>
          <w:rFonts w:cs="Times New Roman"/>
          <w:szCs w:val="24"/>
          <w:lang w:val="lv-LV"/>
        </w:rPr>
        <w:t xml:space="preserve">ir </w:t>
      </w:r>
      <w:r w:rsidRPr="006130C2">
        <w:rPr>
          <w:rFonts w:cs="Times New Roman"/>
          <w:szCs w:val="24"/>
          <w:lang w:val="lv-LV"/>
        </w:rPr>
        <w:t>21 000 000 EUR.</w:t>
      </w:r>
    </w:p>
    <w:p w14:paraId="444ABA77" w14:textId="77777777" w:rsidR="00B427F5" w:rsidRPr="005827DC" w:rsidRDefault="00B427F5" w:rsidP="00B427F5">
      <w:pPr>
        <w:pStyle w:val="ListParagraph"/>
        <w:spacing w:after="0" w:line="240" w:lineRule="auto"/>
        <w:ind w:hanging="360"/>
        <w:jc w:val="both"/>
        <w:rPr>
          <w:rFonts w:eastAsia="Times New Roman" w:cs="Times New Roman"/>
          <w:b/>
          <w:bCs/>
          <w:color w:val="000000"/>
          <w:szCs w:val="24"/>
          <w:lang w:val="lv-LV" w:eastAsia="en-GB" w:bidi="ne-NP"/>
        </w:rPr>
      </w:pPr>
    </w:p>
    <w:p w14:paraId="59C9E90B" w14:textId="126F132E" w:rsidR="00B427F5" w:rsidRPr="005827DC" w:rsidRDefault="00B427F5" w:rsidP="00AE0380">
      <w:pPr>
        <w:pStyle w:val="ListParagraph"/>
        <w:numPr>
          <w:ilvl w:val="0"/>
          <w:numId w:val="1"/>
        </w:numPr>
        <w:spacing w:after="0" w:line="240" w:lineRule="auto"/>
        <w:jc w:val="both"/>
        <w:rPr>
          <w:rFonts w:eastAsia="Times New Roman" w:cs="Times New Roman"/>
          <w:b/>
          <w:bCs/>
          <w:color w:val="000000"/>
          <w:szCs w:val="24"/>
          <w:lang w:val="lv-LV" w:eastAsia="en-GB" w:bidi="ne-NP"/>
        </w:rPr>
      </w:pPr>
      <w:r w:rsidRPr="005827DC">
        <w:rPr>
          <w:rFonts w:eastAsia="Times New Roman" w:cs="Times New Roman"/>
          <w:b/>
          <w:bCs/>
          <w:color w:val="000000"/>
          <w:szCs w:val="24"/>
          <w:lang w:val="lv-LV" w:eastAsia="en-GB" w:bidi="ne-NP"/>
        </w:rPr>
        <w:t xml:space="preserve">5.1.1.5.pasākums “Unikāla Eiropas mēroga kultūras mantojuma atjaunošana, lai veicinātu to pieejamību, attīstot kultūras pakalpojumus” </w:t>
      </w:r>
    </w:p>
    <w:p w14:paraId="28D7CA0C" w14:textId="3B69DF88" w:rsidR="00B427F5" w:rsidRDefault="00B427F5" w:rsidP="001152E2">
      <w:pPr>
        <w:pStyle w:val="ListParagraph"/>
        <w:spacing w:after="0" w:line="240" w:lineRule="auto"/>
        <w:jc w:val="both"/>
        <w:rPr>
          <w:lang w:val="lv-LV"/>
        </w:rPr>
      </w:pPr>
    </w:p>
    <w:p w14:paraId="29232E2E" w14:textId="040B1E06" w:rsidR="006130C2" w:rsidRPr="006130C2" w:rsidRDefault="00736DE0" w:rsidP="002E65F0">
      <w:pPr>
        <w:spacing w:line="240" w:lineRule="auto"/>
        <w:jc w:val="both"/>
        <w:rPr>
          <w:szCs w:val="24"/>
          <w:lang w:val="lv-LV"/>
        </w:rPr>
      </w:pPr>
      <w:r w:rsidRPr="00736DE0">
        <w:rPr>
          <w:rFonts w:cs="Times New Roman"/>
          <w:szCs w:val="24"/>
          <w:lang w:val="lv-LV"/>
        </w:rPr>
        <w:t xml:space="preserve">Atbalsts unikāla Eiropas mēroga kultūras mantojuma atjaunošanai ir </w:t>
      </w:r>
      <w:r w:rsidRPr="00736DE0">
        <w:rPr>
          <w:rFonts w:cs="Times New Roman"/>
          <w:b/>
          <w:bCs/>
          <w:szCs w:val="24"/>
          <w:lang w:val="lv-LV"/>
        </w:rPr>
        <w:t>stratēģiski svarīgs</w:t>
      </w:r>
      <w:r w:rsidRPr="00736DE0">
        <w:rPr>
          <w:rFonts w:cs="Times New Roman"/>
          <w:szCs w:val="24"/>
          <w:lang w:val="lv-LV"/>
        </w:rPr>
        <w:t xml:space="preserve">, lai attīstītu Pasaules kultūras un dabas mantojuma sarakstā iekļautā Rīgas vēsturiskā centra kultūras mantojuma vērtību saglabāšanu un attīstību atbilstoši Latvijas ilgtspējīgas attīstības stratēģijā līdz 2030.gadam ietvertajai vīzijai, kas paredz, ka  2030.gadā Rīga būs nozīmīgs Eiropas kultūras centrs, izvirzot Latvijas kultūras telpas attīstību kā vienu no prioritātēm un uzsverot, ka kultūras telpa vieno un saliedē sabiedrību jaunu ekonomisku, sociālu un kultūras vērtību radīšanai, kuras novērtē un pazīst arī pasaulē. Padarot nacionālo kultūru atpazīstamāku starptautiskā mērogā, tiek veidots gan ekonomiskais ieguvums, gan sniegts pienesums Latvijas tēla veidošanā starptautiskajā vidē un kultūras diplomātijas attīstībā. </w:t>
      </w:r>
      <w:r w:rsidR="00B95CBD">
        <w:rPr>
          <w:rFonts w:cs="Times New Roman"/>
          <w:szCs w:val="24"/>
          <w:lang w:val="lv-LV"/>
        </w:rPr>
        <w:t xml:space="preserve">Pasākuma </w:t>
      </w:r>
      <w:r w:rsidR="00B95CBD" w:rsidRPr="00B95CBD">
        <w:rPr>
          <w:rFonts w:cs="Times New Roman"/>
          <w:b/>
          <w:bCs/>
          <w:szCs w:val="24"/>
          <w:lang w:val="lv-LV"/>
        </w:rPr>
        <w:t>mērķis</w:t>
      </w:r>
      <w:r w:rsidR="00B95CBD">
        <w:rPr>
          <w:rFonts w:cs="Times New Roman"/>
          <w:szCs w:val="24"/>
          <w:lang w:val="lv-LV"/>
        </w:rPr>
        <w:t xml:space="preserve"> - n</w:t>
      </w:r>
      <w:r w:rsidRPr="00736DE0">
        <w:rPr>
          <w:rFonts w:cs="Times New Roman"/>
          <w:szCs w:val="24"/>
          <w:lang w:val="lv-LV"/>
        </w:rPr>
        <w:t>odrošin</w:t>
      </w:r>
      <w:r w:rsidR="00B95CBD">
        <w:rPr>
          <w:rFonts w:cs="Times New Roman"/>
          <w:szCs w:val="24"/>
          <w:lang w:val="lv-LV"/>
        </w:rPr>
        <w:t>ā</w:t>
      </w:r>
      <w:r w:rsidRPr="00736DE0">
        <w:rPr>
          <w:rFonts w:cs="Times New Roman"/>
          <w:szCs w:val="24"/>
          <w:lang w:val="lv-LV"/>
        </w:rPr>
        <w:t>t arhitektonisko un kultūras vērtību saglabāšanu un nodrošin</w:t>
      </w:r>
      <w:r w:rsidR="00B95CBD">
        <w:rPr>
          <w:rFonts w:cs="Times New Roman"/>
          <w:szCs w:val="24"/>
          <w:lang w:val="lv-LV"/>
        </w:rPr>
        <w:t>ā</w:t>
      </w:r>
      <w:r w:rsidRPr="00736DE0">
        <w:rPr>
          <w:rFonts w:cs="Times New Roman"/>
          <w:szCs w:val="24"/>
          <w:lang w:val="lv-LV"/>
        </w:rPr>
        <w:t xml:space="preserve">t kultūras objektu turpmāku izmantošanu kultūras pakalpojumu sniegšanā, </w:t>
      </w:r>
      <w:r w:rsidR="00B95CBD">
        <w:rPr>
          <w:rFonts w:cs="Times New Roman"/>
          <w:szCs w:val="24"/>
          <w:lang w:val="lv-LV"/>
        </w:rPr>
        <w:t xml:space="preserve">kā rezultātā </w:t>
      </w:r>
      <w:r w:rsidRPr="00736DE0">
        <w:rPr>
          <w:rFonts w:cs="Times New Roman"/>
          <w:szCs w:val="24"/>
          <w:lang w:val="lv-LV"/>
        </w:rPr>
        <w:t>tiks nodrošināta unikāla kultūras mantojuma kā ilgtspējīga resursa inovatīva izmantošanu cilvēka dzīves kvalitātes uzlabošanā, vienlaikus ievērojot iniciatīvas Eiropas Jaunais “</w:t>
      </w:r>
      <w:proofErr w:type="spellStart"/>
      <w:r w:rsidRPr="00736DE0">
        <w:rPr>
          <w:rFonts w:cs="Times New Roman"/>
          <w:szCs w:val="24"/>
          <w:lang w:val="lv-LV"/>
        </w:rPr>
        <w:t>Bauhaus</w:t>
      </w:r>
      <w:proofErr w:type="spellEnd"/>
      <w:r w:rsidRPr="00736DE0">
        <w:rPr>
          <w:rFonts w:cs="Times New Roman"/>
          <w:szCs w:val="24"/>
          <w:lang w:val="lv-LV"/>
        </w:rPr>
        <w:t>” principus un Starptautiskā kultūras pieminekļu un ievērojamu vietu padomes izstrādātos kvalitātes principus ES finansētiem pārveidojumiem, kas var ietekmēt kultūras mantojumu.</w:t>
      </w:r>
      <w:r w:rsidR="00B95CBD" w:rsidRPr="00B95CBD">
        <w:rPr>
          <w:rFonts w:cs="Times New Roman"/>
          <w:szCs w:val="24"/>
          <w:lang w:val="lv-LV"/>
        </w:rPr>
        <w:t xml:space="preserve"> </w:t>
      </w:r>
      <w:r w:rsidR="0005088E" w:rsidRPr="0005088E">
        <w:rPr>
          <w:rFonts w:cs="Times New Roman"/>
          <w:szCs w:val="24"/>
          <w:lang w:val="lv-LV"/>
        </w:rPr>
        <w:t xml:space="preserve">Kultūras objektu atjaunošana skatāma plašākā kontekstā iekļaujot saistītas infrastruktūras un publiskās </w:t>
      </w:r>
      <w:proofErr w:type="spellStart"/>
      <w:r w:rsidR="0005088E" w:rsidRPr="0005088E">
        <w:rPr>
          <w:rFonts w:cs="Times New Roman"/>
          <w:szCs w:val="24"/>
          <w:lang w:val="lv-LV"/>
        </w:rPr>
        <w:t>ārtelpas</w:t>
      </w:r>
      <w:proofErr w:type="spellEnd"/>
      <w:r w:rsidR="0005088E" w:rsidRPr="0005088E">
        <w:rPr>
          <w:rFonts w:cs="Times New Roman"/>
          <w:szCs w:val="24"/>
          <w:lang w:val="lv-LV"/>
        </w:rPr>
        <w:t xml:space="preserve"> uzlabojumus. Būtiska ir Rīgas viduslaiku apbūves teritorijas </w:t>
      </w:r>
      <w:proofErr w:type="spellStart"/>
      <w:r w:rsidR="0005088E" w:rsidRPr="0005088E">
        <w:rPr>
          <w:rFonts w:cs="Times New Roman"/>
          <w:szCs w:val="24"/>
          <w:lang w:val="lv-LV"/>
        </w:rPr>
        <w:t>revitalizācija</w:t>
      </w:r>
      <w:proofErr w:type="spellEnd"/>
      <w:r w:rsidR="0005088E" w:rsidRPr="0005088E">
        <w:rPr>
          <w:rFonts w:cs="Times New Roman"/>
          <w:szCs w:val="24"/>
          <w:lang w:val="lv-LV"/>
        </w:rPr>
        <w:t xml:space="preserve"> ar vides pieejamības uzlabošanu un atraktīvas pilsētvides veidošanu, sekmējot sabiedrisko aktivitāšu norisi un jaunu kultūras un tūrisma pakalpojumu attīstību, kas veicinātu uzņēmējdarbības aktivitāti, tādējādi nodrošinot kultūrvēsturiski vērtīgās apbūves atjaunošanu un unikālās ainavas saglabāšanu.</w:t>
      </w:r>
      <w:r w:rsidR="0005088E">
        <w:rPr>
          <w:rFonts w:cs="Times New Roman"/>
          <w:szCs w:val="24"/>
          <w:lang w:val="lv-LV"/>
        </w:rPr>
        <w:t xml:space="preserve"> </w:t>
      </w:r>
      <w:r w:rsidR="00B95CBD">
        <w:rPr>
          <w:rFonts w:cs="Times New Roman"/>
          <w:szCs w:val="24"/>
          <w:lang w:val="lv-LV"/>
        </w:rPr>
        <w:t>5.1.1.5</w:t>
      </w:r>
      <w:r w:rsidR="00B95CBD" w:rsidRPr="006130C2">
        <w:rPr>
          <w:rFonts w:cs="Times New Roman"/>
          <w:szCs w:val="24"/>
          <w:lang w:val="lv-LV"/>
        </w:rPr>
        <w:t>.pasākuma plānot</w:t>
      </w:r>
      <w:r w:rsidR="00B95CBD">
        <w:rPr>
          <w:rFonts w:cs="Times New Roman"/>
          <w:szCs w:val="24"/>
          <w:lang w:val="lv-LV"/>
        </w:rPr>
        <w:t>ai</w:t>
      </w:r>
      <w:r w:rsidR="00B95CBD" w:rsidRPr="006130C2">
        <w:rPr>
          <w:rFonts w:cs="Times New Roman"/>
          <w:szCs w:val="24"/>
          <w:lang w:val="lv-LV"/>
        </w:rPr>
        <w:t xml:space="preserve">s </w:t>
      </w:r>
      <w:r w:rsidR="00B95CBD" w:rsidRPr="00AE0380">
        <w:rPr>
          <w:rFonts w:cs="Times New Roman"/>
          <w:b/>
          <w:bCs/>
          <w:szCs w:val="24"/>
          <w:lang w:val="lv-LV"/>
        </w:rPr>
        <w:t>kopējais attiecināmais finansējums</w:t>
      </w:r>
      <w:r w:rsidR="00B95CBD" w:rsidRPr="006130C2">
        <w:rPr>
          <w:rFonts w:cs="Times New Roman"/>
          <w:szCs w:val="24"/>
          <w:lang w:val="lv-LV"/>
        </w:rPr>
        <w:t xml:space="preserve"> </w:t>
      </w:r>
      <w:r w:rsidR="00B95CBD">
        <w:rPr>
          <w:rFonts w:cs="Times New Roman"/>
          <w:szCs w:val="24"/>
          <w:lang w:val="lv-LV"/>
        </w:rPr>
        <w:t xml:space="preserve">ir </w:t>
      </w:r>
      <w:r w:rsidR="00B95CBD" w:rsidRPr="00B95CBD">
        <w:rPr>
          <w:rFonts w:cs="Times New Roman"/>
          <w:szCs w:val="24"/>
          <w:lang w:val="lv-LV"/>
        </w:rPr>
        <w:t>33 712 500</w:t>
      </w:r>
      <w:r w:rsidR="00B95CBD" w:rsidRPr="006130C2">
        <w:rPr>
          <w:rFonts w:cs="Times New Roman"/>
          <w:szCs w:val="24"/>
          <w:lang w:val="lv-LV"/>
        </w:rPr>
        <w:t>EUR.</w:t>
      </w:r>
    </w:p>
    <w:sectPr w:rsidR="006130C2" w:rsidRPr="006130C2" w:rsidSect="00870710">
      <w:footerReference w:type="default" r:id="rId9"/>
      <w:pgSz w:w="11906" w:h="16838"/>
      <w:pgMar w:top="851" w:right="851" w:bottom="851" w:left="1134"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3FE1C" w14:textId="77777777" w:rsidR="00870710" w:rsidRDefault="00870710" w:rsidP="00870710">
      <w:pPr>
        <w:spacing w:after="0" w:line="240" w:lineRule="auto"/>
      </w:pPr>
      <w:r>
        <w:separator/>
      </w:r>
    </w:p>
  </w:endnote>
  <w:endnote w:type="continuationSeparator" w:id="0">
    <w:p w14:paraId="4C26D7B9" w14:textId="77777777" w:rsidR="00870710" w:rsidRDefault="00870710" w:rsidP="00870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68270265"/>
      <w:docPartObj>
        <w:docPartGallery w:val="Page Numbers (Bottom of Page)"/>
        <w:docPartUnique/>
      </w:docPartObj>
    </w:sdtPr>
    <w:sdtEndPr>
      <w:rPr>
        <w:noProof/>
      </w:rPr>
    </w:sdtEndPr>
    <w:sdtContent>
      <w:p w14:paraId="6E3F1616" w14:textId="675DD815" w:rsidR="00870710" w:rsidRPr="00C93995" w:rsidRDefault="00870710">
        <w:pPr>
          <w:pStyle w:val="Footer"/>
          <w:jc w:val="center"/>
          <w:rPr>
            <w:sz w:val="20"/>
            <w:szCs w:val="20"/>
          </w:rPr>
        </w:pPr>
        <w:r w:rsidRPr="00C93995">
          <w:rPr>
            <w:sz w:val="20"/>
            <w:szCs w:val="20"/>
          </w:rPr>
          <w:fldChar w:fldCharType="begin"/>
        </w:r>
        <w:r w:rsidRPr="00C93995">
          <w:rPr>
            <w:sz w:val="20"/>
            <w:szCs w:val="20"/>
          </w:rPr>
          <w:instrText xml:space="preserve"> PAGE   \* MERGEFORMAT </w:instrText>
        </w:r>
        <w:r w:rsidRPr="00C93995">
          <w:rPr>
            <w:sz w:val="20"/>
            <w:szCs w:val="20"/>
          </w:rPr>
          <w:fldChar w:fldCharType="separate"/>
        </w:r>
        <w:r w:rsidR="00807529">
          <w:rPr>
            <w:noProof/>
            <w:sz w:val="20"/>
            <w:szCs w:val="20"/>
          </w:rPr>
          <w:t>7</w:t>
        </w:r>
        <w:r w:rsidRPr="00C93995">
          <w:rPr>
            <w:noProof/>
            <w:sz w:val="20"/>
            <w:szCs w:val="20"/>
          </w:rPr>
          <w:fldChar w:fldCharType="end"/>
        </w:r>
      </w:p>
    </w:sdtContent>
  </w:sdt>
  <w:p w14:paraId="14F30962" w14:textId="539F6DB6" w:rsidR="00C93995" w:rsidRPr="00C93995" w:rsidRDefault="00C93995">
    <w:pPr>
      <w:pStyle w:val="Footer"/>
      <w:rPr>
        <w:sz w:val="20"/>
        <w:szCs w:val="20"/>
      </w:rPr>
    </w:pPr>
    <w:r w:rsidRPr="00C93995">
      <w:rPr>
        <w:sz w:val="20"/>
        <w:szCs w:val="20"/>
      </w:rPr>
      <w:t>FMProgPiel7_</w:t>
    </w:r>
    <w:r w:rsidR="00807529">
      <w:rPr>
        <w:sz w:val="20"/>
        <w:szCs w:val="20"/>
      </w:rPr>
      <w:t>2</w:t>
    </w:r>
    <w:r w:rsidR="002E65F0">
      <w:rPr>
        <w:sz w:val="20"/>
        <w:szCs w:val="20"/>
      </w:rPr>
      <w:t>710</w:t>
    </w:r>
    <w:r w:rsidRPr="00C93995">
      <w:rPr>
        <w:sz w:val="20"/>
        <w:szCs w:val="20"/>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D2FC5" w14:textId="77777777" w:rsidR="00870710" w:rsidRDefault="00870710" w:rsidP="00870710">
      <w:pPr>
        <w:spacing w:after="0" w:line="240" w:lineRule="auto"/>
      </w:pPr>
      <w:r>
        <w:separator/>
      </w:r>
    </w:p>
  </w:footnote>
  <w:footnote w:type="continuationSeparator" w:id="0">
    <w:p w14:paraId="2752C5C1" w14:textId="77777777" w:rsidR="00870710" w:rsidRDefault="00870710" w:rsidP="008707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A35EF"/>
    <w:multiLevelType w:val="hybridMultilevel"/>
    <w:tmpl w:val="A8507A2E"/>
    <w:lvl w:ilvl="0" w:tplc="0426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0BFD2A"/>
    <w:multiLevelType w:val="hybridMultilevel"/>
    <w:tmpl w:val="65142A08"/>
    <w:lvl w:ilvl="0" w:tplc="F9B650E0">
      <w:start w:val="1"/>
      <w:numFmt w:val="bullet"/>
      <w:lvlText w:val="-"/>
      <w:lvlJc w:val="left"/>
      <w:pPr>
        <w:ind w:left="720" w:hanging="360"/>
      </w:pPr>
      <w:rPr>
        <w:rFonts w:ascii="Calibri" w:hAnsi="Calibri" w:hint="default"/>
      </w:rPr>
    </w:lvl>
    <w:lvl w:ilvl="1" w:tplc="0A0CC24A">
      <w:start w:val="1"/>
      <w:numFmt w:val="bullet"/>
      <w:lvlText w:val="o"/>
      <w:lvlJc w:val="left"/>
      <w:pPr>
        <w:ind w:left="1440" w:hanging="360"/>
      </w:pPr>
      <w:rPr>
        <w:rFonts w:ascii="Courier New" w:hAnsi="Courier New" w:hint="default"/>
      </w:rPr>
    </w:lvl>
    <w:lvl w:ilvl="2" w:tplc="19624A08">
      <w:start w:val="1"/>
      <w:numFmt w:val="bullet"/>
      <w:lvlText w:val=""/>
      <w:lvlJc w:val="left"/>
      <w:pPr>
        <w:ind w:left="2160" w:hanging="360"/>
      </w:pPr>
      <w:rPr>
        <w:rFonts w:ascii="Wingdings" w:hAnsi="Wingdings" w:hint="default"/>
      </w:rPr>
    </w:lvl>
    <w:lvl w:ilvl="3" w:tplc="9828B906">
      <w:start w:val="1"/>
      <w:numFmt w:val="bullet"/>
      <w:lvlText w:val=""/>
      <w:lvlJc w:val="left"/>
      <w:pPr>
        <w:ind w:left="2880" w:hanging="360"/>
      </w:pPr>
      <w:rPr>
        <w:rFonts w:ascii="Symbol" w:hAnsi="Symbol" w:hint="default"/>
      </w:rPr>
    </w:lvl>
    <w:lvl w:ilvl="4" w:tplc="D2F82034">
      <w:start w:val="1"/>
      <w:numFmt w:val="bullet"/>
      <w:lvlText w:val="o"/>
      <w:lvlJc w:val="left"/>
      <w:pPr>
        <w:ind w:left="3600" w:hanging="360"/>
      </w:pPr>
      <w:rPr>
        <w:rFonts w:ascii="Courier New" w:hAnsi="Courier New" w:hint="default"/>
      </w:rPr>
    </w:lvl>
    <w:lvl w:ilvl="5" w:tplc="AF40D404">
      <w:start w:val="1"/>
      <w:numFmt w:val="bullet"/>
      <w:lvlText w:val=""/>
      <w:lvlJc w:val="left"/>
      <w:pPr>
        <w:ind w:left="4320" w:hanging="360"/>
      </w:pPr>
      <w:rPr>
        <w:rFonts w:ascii="Wingdings" w:hAnsi="Wingdings" w:hint="default"/>
      </w:rPr>
    </w:lvl>
    <w:lvl w:ilvl="6" w:tplc="4BF4390C">
      <w:start w:val="1"/>
      <w:numFmt w:val="bullet"/>
      <w:lvlText w:val=""/>
      <w:lvlJc w:val="left"/>
      <w:pPr>
        <w:ind w:left="5040" w:hanging="360"/>
      </w:pPr>
      <w:rPr>
        <w:rFonts w:ascii="Symbol" w:hAnsi="Symbol" w:hint="default"/>
      </w:rPr>
    </w:lvl>
    <w:lvl w:ilvl="7" w:tplc="D5C0B88A">
      <w:start w:val="1"/>
      <w:numFmt w:val="bullet"/>
      <w:lvlText w:val="o"/>
      <w:lvlJc w:val="left"/>
      <w:pPr>
        <w:ind w:left="5760" w:hanging="360"/>
      </w:pPr>
      <w:rPr>
        <w:rFonts w:ascii="Courier New" w:hAnsi="Courier New" w:hint="default"/>
      </w:rPr>
    </w:lvl>
    <w:lvl w:ilvl="8" w:tplc="FEB298F0">
      <w:start w:val="1"/>
      <w:numFmt w:val="bullet"/>
      <w:lvlText w:val=""/>
      <w:lvlJc w:val="left"/>
      <w:pPr>
        <w:ind w:left="6480" w:hanging="360"/>
      </w:pPr>
      <w:rPr>
        <w:rFonts w:ascii="Wingdings" w:hAnsi="Wingdings" w:hint="default"/>
      </w:rPr>
    </w:lvl>
  </w:abstractNum>
  <w:abstractNum w:abstractNumId="2" w15:restartNumberingAfterBreak="0">
    <w:nsid w:val="1BF00BE1"/>
    <w:multiLevelType w:val="hybridMultilevel"/>
    <w:tmpl w:val="8B26D5F4"/>
    <w:lvl w:ilvl="0" w:tplc="26A4B2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116FA1"/>
    <w:multiLevelType w:val="hybridMultilevel"/>
    <w:tmpl w:val="899CB56E"/>
    <w:lvl w:ilvl="0" w:tplc="26A4B2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133C19"/>
    <w:multiLevelType w:val="hybridMultilevel"/>
    <w:tmpl w:val="89E22532"/>
    <w:lvl w:ilvl="0" w:tplc="190427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0E7814"/>
    <w:multiLevelType w:val="hybridMultilevel"/>
    <w:tmpl w:val="C5E22B4C"/>
    <w:lvl w:ilvl="0" w:tplc="04260011">
      <w:start w:val="1"/>
      <w:numFmt w:val="decimal"/>
      <w:lvlText w:val="%1)"/>
      <w:lvlJc w:val="left"/>
      <w:pPr>
        <w:ind w:left="360" w:hanging="360"/>
      </w:pPr>
      <w:rPr>
        <w:rFonts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E79"/>
    <w:rsid w:val="0005088E"/>
    <w:rsid w:val="000548BA"/>
    <w:rsid w:val="00066EA3"/>
    <w:rsid w:val="00077D96"/>
    <w:rsid w:val="00084607"/>
    <w:rsid w:val="000A440A"/>
    <w:rsid w:val="000A6DD3"/>
    <w:rsid w:val="000A738E"/>
    <w:rsid w:val="000B4CB5"/>
    <w:rsid w:val="000B61CA"/>
    <w:rsid w:val="000C2484"/>
    <w:rsid w:val="000E2D6F"/>
    <w:rsid w:val="000E5DCB"/>
    <w:rsid w:val="000F7365"/>
    <w:rsid w:val="00111029"/>
    <w:rsid w:val="001152E2"/>
    <w:rsid w:val="00115E66"/>
    <w:rsid w:val="00122C0C"/>
    <w:rsid w:val="00132F06"/>
    <w:rsid w:val="001731C5"/>
    <w:rsid w:val="00174263"/>
    <w:rsid w:val="00182B71"/>
    <w:rsid w:val="001860FF"/>
    <w:rsid w:val="001B3A85"/>
    <w:rsid w:val="001D0B9F"/>
    <w:rsid w:val="001D312F"/>
    <w:rsid w:val="001D771D"/>
    <w:rsid w:val="0022046F"/>
    <w:rsid w:val="00262E91"/>
    <w:rsid w:val="00271E95"/>
    <w:rsid w:val="00287F54"/>
    <w:rsid w:val="002977EC"/>
    <w:rsid w:val="002A2B9A"/>
    <w:rsid w:val="002A6E8B"/>
    <w:rsid w:val="002B7591"/>
    <w:rsid w:val="002D1CB8"/>
    <w:rsid w:val="002E65F0"/>
    <w:rsid w:val="002F60EA"/>
    <w:rsid w:val="00351C8D"/>
    <w:rsid w:val="00375179"/>
    <w:rsid w:val="00375458"/>
    <w:rsid w:val="00387DB2"/>
    <w:rsid w:val="00397F0F"/>
    <w:rsid w:val="003B0DED"/>
    <w:rsid w:val="003B2403"/>
    <w:rsid w:val="003B46BA"/>
    <w:rsid w:val="003C65D7"/>
    <w:rsid w:val="003F1075"/>
    <w:rsid w:val="003F1E08"/>
    <w:rsid w:val="003F4EF1"/>
    <w:rsid w:val="003F63C3"/>
    <w:rsid w:val="00434764"/>
    <w:rsid w:val="00454A63"/>
    <w:rsid w:val="00460E0C"/>
    <w:rsid w:val="004D4971"/>
    <w:rsid w:val="004E62F8"/>
    <w:rsid w:val="004F5886"/>
    <w:rsid w:val="004F6375"/>
    <w:rsid w:val="005114E4"/>
    <w:rsid w:val="00525511"/>
    <w:rsid w:val="00536316"/>
    <w:rsid w:val="00536EEE"/>
    <w:rsid w:val="005827DC"/>
    <w:rsid w:val="005A1F27"/>
    <w:rsid w:val="005B317A"/>
    <w:rsid w:val="005B7E26"/>
    <w:rsid w:val="005C62B8"/>
    <w:rsid w:val="005D7A25"/>
    <w:rsid w:val="005E60F2"/>
    <w:rsid w:val="006130C2"/>
    <w:rsid w:val="00622869"/>
    <w:rsid w:val="00637B43"/>
    <w:rsid w:val="00641D39"/>
    <w:rsid w:val="0064520D"/>
    <w:rsid w:val="00652754"/>
    <w:rsid w:val="006C2FB8"/>
    <w:rsid w:val="006D1930"/>
    <w:rsid w:val="006E6758"/>
    <w:rsid w:val="006F1041"/>
    <w:rsid w:val="00705F9C"/>
    <w:rsid w:val="00726665"/>
    <w:rsid w:val="00736DE0"/>
    <w:rsid w:val="007504E5"/>
    <w:rsid w:val="007530ED"/>
    <w:rsid w:val="00760BB1"/>
    <w:rsid w:val="00760EA9"/>
    <w:rsid w:val="00793BE1"/>
    <w:rsid w:val="007C25AE"/>
    <w:rsid w:val="007C76FD"/>
    <w:rsid w:val="007E1C64"/>
    <w:rsid w:val="007F0F3B"/>
    <w:rsid w:val="0080168A"/>
    <w:rsid w:val="00807529"/>
    <w:rsid w:val="008337AE"/>
    <w:rsid w:val="00841E79"/>
    <w:rsid w:val="00855DE6"/>
    <w:rsid w:val="00870710"/>
    <w:rsid w:val="00880FA7"/>
    <w:rsid w:val="008A54C0"/>
    <w:rsid w:val="008A6785"/>
    <w:rsid w:val="00906471"/>
    <w:rsid w:val="00914690"/>
    <w:rsid w:val="00920848"/>
    <w:rsid w:val="00921414"/>
    <w:rsid w:val="009709E2"/>
    <w:rsid w:val="00991647"/>
    <w:rsid w:val="00996F27"/>
    <w:rsid w:val="009A4611"/>
    <w:rsid w:val="009C33D1"/>
    <w:rsid w:val="009D5B7F"/>
    <w:rsid w:val="009F502E"/>
    <w:rsid w:val="00A135AE"/>
    <w:rsid w:val="00A22EE4"/>
    <w:rsid w:val="00A41772"/>
    <w:rsid w:val="00A92E79"/>
    <w:rsid w:val="00AD2B81"/>
    <w:rsid w:val="00AD6041"/>
    <w:rsid w:val="00AE0380"/>
    <w:rsid w:val="00AF2C5A"/>
    <w:rsid w:val="00AF4309"/>
    <w:rsid w:val="00B1547D"/>
    <w:rsid w:val="00B166F6"/>
    <w:rsid w:val="00B427F5"/>
    <w:rsid w:val="00B629FC"/>
    <w:rsid w:val="00B86C88"/>
    <w:rsid w:val="00B95CBD"/>
    <w:rsid w:val="00B9700F"/>
    <w:rsid w:val="00BA3513"/>
    <w:rsid w:val="00BB3ACD"/>
    <w:rsid w:val="00BB4A54"/>
    <w:rsid w:val="00BB769B"/>
    <w:rsid w:val="00BC47B7"/>
    <w:rsid w:val="00BC5656"/>
    <w:rsid w:val="00BC62DF"/>
    <w:rsid w:val="00BD7212"/>
    <w:rsid w:val="00BD757F"/>
    <w:rsid w:val="00C125CA"/>
    <w:rsid w:val="00C174AD"/>
    <w:rsid w:val="00C24921"/>
    <w:rsid w:val="00C277D1"/>
    <w:rsid w:val="00C349BE"/>
    <w:rsid w:val="00C5283C"/>
    <w:rsid w:val="00C566EC"/>
    <w:rsid w:val="00C80926"/>
    <w:rsid w:val="00C91785"/>
    <w:rsid w:val="00C92B67"/>
    <w:rsid w:val="00C93995"/>
    <w:rsid w:val="00CC096A"/>
    <w:rsid w:val="00CD06B6"/>
    <w:rsid w:val="00CF2FC6"/>
    <w:rsid w:val="00D00464"/>
    <w:rsid w:val="00D11CFC"/>
    <w:rsid w:val="00D3560A"/>
    <w:rsid w:val="00D54285"/>
    <w:rsid w:val="00DA7163"/>
    <w:rsid w:val="00DC3613"/>
    <w:rsid w:val="00DC3A1C"/>
    <w:rsid w:val="00DE065E"/>
    <w:rsid w:val="00E0248C"/>
    <w:rsid w:val="00E43AB7"/>
    <w:rsid w:val="00E47433"/>
    <w:rsid w:val="00E57BFB"/>
    <w:rsid w:val="00E60F58"/>
    <w:rsid w:val="00E83DEA"/>
    <w:rsid w:val="00E86AD7"/>
    <w:rsid w:val="00EB56BE"/>
    <w:rsid w:val="00ED1016"/>
    <w:rsid w:val="00EE266E"/>
    <w:rsid w:val="00F421B2"/>
    <w:rsid w:val="00F44CB6"/>
    <w:rsid w:val="00F45783"/>
    <w:rsid w:val="00F54419"/>
    <w:rsid w:val="00F6070C"/>
    <w:rsid w:val="00F636FA"/>
    <w:rsid w:val="00F74079"/>
    <w:rsid w:val="00FB21FE"/>
  </w:rsids>
  <m:mathPr>
    <m:mathFont m:val="Cambria Math"/>
    <m:brkBin m:val="before"/>
    <m:brkBinSub m:val="--"/>
    <m:smallFrac m:val="0"/>
    <m:dispDef/>
    <m:lMargin m:val="0"/>
    <m:rMargin m:val="0"/>
    <m:defJc m:val="centerGroup"/>
    <m:wrapIndent m:val="1440"/>
    <m:intLim m:val="subSup"/>
    <m:naryLim m:val="undOvr"/>
  </m:mathPr>
  <w:themeFontLang w:val="en-GB"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393D4"/>
  <w15:chartTrackingRefBased/>
  <w15:docId w15:val="{9DD11BDB-B764-4073-BA77-DE28D55B8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rsid w:val="00A92E79"/>
    <w:pPr>
      <w:ind w:left="720"/>
      <w:contextualSpacing/>
    </w:pPr>
  </w:style>
  <w:style w:type="paragraph" w:styleId="Revision">
    <w:name w:val="Revision"/>
    <w:hidden/>
    <w:uiPriority w:val="99"/>
    <w:semiHidden/>
    <w:rsid w:val="00C125CA"/>
    <w:pPr>
      <w:spacing w:after="0" w:line="240" w:lineRule="auto"/>
    </w:pPr>
  </w:style>
  <w:style w:type="character" w:styleId="CommentReference">
    <w:name w:val="annotation reference"/>
    <w:basedOn w:val="DefaultParagraphFont"/>
    <w:uiPriority w:val="99"/>
    <w:semiHidden/>
    <w:unhideWhenUsed/>
    <w:rsid w:val="00C125CA"/>
    <w:rPr>
      <w:sz w:val="16"/>
      <w:szCs w:val="16"/>
    </w:rPr>
  </w:style>
  <w:style w:type="paragraph" w:styleId="CommentText">
    <w:name w:val="annotation text"/>
    <w:basedOn w:val="Normal"/>
    <w:link w:val="CommentTextChar"/>
    <w:uiPriority w:val="99"/>
    <w:unhideWhenUsed/>
    <w:rsid w:val="00C125CA"/>
    <w:pPr>
      <w:spacing w:line="240" w:lineRule="auto"/>
    </w:pPr>
    <w:rPr>
      <w:sz w:val="20"/>
      <w:szCs w:val="20"/>
    </w:rPr>
  </w:style>
  <w:style w:type="character" w:customStyle="1" w:styleId="CommentTextChar">
    <w:name w:val="Comment Text Char"/>
    <w:basedOn w:val="DefaultParagraphFont"/>
    <w:link w:val="CommentText"/>
    <w:uiPriority w:val="99"/>
    <w:rsid w:val="00C125CA"/>
    <w:rPr>
      <w:sz w:val="20"/>
      <w:szCs w:val="20"/>
    </w:rPr>
  </w:style>
  <w:style w:type="paragraph" w:styleId="CommentSubject">
    <w:name w:val="annotation subject"/>
    <w:basedOn w:val="CommentText"/>
    <w:next w:val="CommentText"/>
    <w:link w:val="CommentSubjectChar"/>
    <w:uiPriority w:val="99"/>
    <w:semiHidden/>
    <w:unhideWhenUsed/>
    <w:rsid w:val="00C125CA"/>
    <w:rPr>
      <w:b/>
      <w:bCs/>
    </w:rPr>
  </w:style>
  <w:style w:type="character" w:customStyle="1" w:styleId="CommentSubjectChar">
    <w:name w:val="Comment Subject Char"/>
    <w:basedOn w:val="CommentTextChar"/>
    <w:link w:val="CommentSubject"/>
    <w:uiPriority w:val="99"/>
    <w:semiHidden/>
    <w:rsid w:val="00C125CA"/>
    <w:rPr>
      <w:b/>
      <w:bCs/>
      <w:sz w:val="20"/>
      <w:szCs w:val="20"/>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F636FA"/>
  </w:style>
  <w:style w:type="paragraph" w:styleId="BalloonText">
    <w:name w:val="Balloon Text"/>
    <w:basedOn w:val="Normal"/>
    <w:link w:val="BalloonTextChar"/>
    <w:uiPriority w:val="99"/>
    <w:semiHidden/>
    <w:unhideWhenUsed/>
    <w:rsid w:val="008A54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54C0"/>
    <w:rPr>
      <w:rFonts w:ascii="Segoe UI" w:hAnsi="Segoe UI" w:cs="Segoe UI"/>
      <w:sz w:val="18"/>
      <w:szCs w:val="18"/>
    </w:rPr>
  </w:style>
  <w:style w:type="paragraph" w:styleId="Header">
    <w:name w:val="header"/>
    <w:basedOn w:val="Normal"/>
    <w:link w:val="HeaderChar"/>
    <w:uiPriority w:val="99"/>
    <w:unhideWhenUsed/>
    <w:rsid w:val="0087071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70710"/>
  </w:style>
  <w:style w:type="paragraph" w:styleId="Footer">
    <w:name w:val="footer"/>
    <w:basedOn w:val="Normal"/>
    <w:link w:val="FooterChar"/>
    <w:uiPriority w:val="99"/>
    <w:unhideWhenUsed/>
    <w:rsid w:val="0087071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70710"/>
  </w:style>
  <w:style w:type="character" w:styleId="Hyperlink">
    <w:name w:val="Hyperlink"/>
    <w:basedOn w:val="DefaultParagraphFont"/>
    <w:uiPriority w:val="99"/>
    <w:unhideWhenUsed/>
    <w:rsid w:val="00CF2F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23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ergoefektivakaeka.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D1346-F097-4213-BC88-CD3F5229F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4602</Words>
  <Characters>26235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Braņicka</dc:creator>
  <cp:keywords/>
  <dc:description/>
  <cp:lastModifiedBy>Anna Pukse </cp:lastModifiedBy>
  <cp:revision>10</cp:revision>
  <dcterms:created xsi:type="dcterms:W3CDTF">2022-09-16T06:28:00Z</dcterms:created>
  <dcterms:modified xsi:type="dcterms:W3CDTF">2022-10-27T07:51:00Z</dcterms:modified>
</cp:coreProperties>
</file>